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AECBF" w14:textId="29140B0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proofErr w:type="spellStart"/>
      <w:r w:rsidRPr="00CE0424">
        <w:rPr>
          <w:sz w:val="32"/>
          <w:szCs w:val="32"/>
        </w:rPr>
        <w:t>Tdoc</w:t>
      </w:r>
      <w:proofErr w:type="spellEnd"/>
      <w:r w:rsidRPr="00CE0424">
        <w:rPr>
          <w:sz w:val="32"/>
          <w:szCs w:val="32"/>
        </w:rPr>
        <w:t xml:space="preserve"> </w:t>
      </w:r>
      <w:r w:rsidR="00465570">
        <w:rPr>
          <w:sz w:val="32"/>
          <w:szCs w:val="32"/>
        </w:rPr>
        <w:t>R2-</w:t>
      </w:r>
      <w:r w:rsidR="00465570" w:rsidRPr="00465570">
        <w:rPr>
          <w:sz w:val="32"/>
          <w:szCs w:val="32"/>
        </w:rPr>
        <w:t>2101293</w:t>
      </w:r>
    </w:p>
    <w:p w14:paraId="3E492351"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2E244D8C" w14:textId="724FCA1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12525">
        <w:rPr>
          <w:sz w:val="22"/>
          <w:szCs w:val="22"/>
        </w:rPr>
        <w:t>8.8.1</w:t>
      </w:r>
    </w:p>
    <w:p w14:paraId="41BFB54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9A07DB" w14:textId="4BDEE1D3" w:rsidR="00E90E49" w:rsidRPr="00CE0424" w:rsidRDefault="003D3C45" w:rsidP="00311702">
      <w:pPr>
        <w:pStyle w:val="3GPPHeader"/>
        <w:rPr>
          <w:sz w:val="22"/>
          <w:szCs w:val="22"/>
        </w:rPr>
      </w:pPr>
      <w:r>
        <w:rPr>
          <w:sz w:val="22"/>
          <w:szCs w:val="22"/>
        </w:rPr>
        <w:t>Title:</w:t>
      </w:r>
      <w:r w:rsidR="00E90E49" w:rsidRPr="00CE0424">
        <w:rPr>
          <w:sz w:val="22"/>
          <w:szCs w:val="22"/>
        </w:rPr>
        <w:tab/>
      </w:r>
      <w:r w:rsidR="000A44DF">
        <w:rPr>
          <w:sz w:val="22"/>
          <w:szCs w:val="22"/>
        </w:rPr>
        <w:t>UE slice MBR enforcement in RAN</w:t>
      </w:r>
    </w:p>
    <w:p w14:paraId="1A2C5D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12525">
        <w:rPr>
          <w:sz w:val="22"/>
          <w:szCs w:val="22"/>
        </w:rPr>
        <w:t>Discussion, Decision</w:t>
      </w:r>
    </w:p>
    <w:p w14:paraId="79D3C31F" w14:textId="77777777" w:rsidR="00B85487" w:rsidRPr="00CE0424" w:rsidRDefault="00B85487" w:rsidP="00B85487">
      <w:pPr>
        <w:pStyle w:val="Heading1"/>
      </w:pPr>
      <w:r>
        <w:t>1</w:t>
      </w:r>
      <w:r>
        <w:tab/>
      </w:r>
      <w:r w:rsidRPr="00CE0424">
        <w:t>Introduction</w:t>
      </w:r>
      <w:bookmarkStart w:id="0" w:name="_GoBack"/>
      <w:bookmarkEnd w:id="0"/>
    </w:p>
    <w:p w14:paraId="4BF17A4A" w14:textId="4C23BB83" w:rsidR="00B85487" w:rsidRDefault="00E87093" w:rsidP="00B85487">
      <w:pPr>
        <w:pStyle w:val="BodyText"/>
        <w:rPr>
          <w:lang w:eastAsia="ja-JP"/>
        </w:rPr>
      </w:pPr>
      <w:r>
        <w:t>In</w:t>
      </w:r>
      <w:r w:rsidR="000D5375">
        <w:t xml:space="preserve"> LS</w:t>
      </w:r>
      <w:r>
        <w:t xml:space="preserve"> </w:t>
      </w:r>
      <w:r w:rsidR="000D5375">
        <w:rPr>
          <w:lang w:eastAsia="ja-JP"/>
        </w:rPr>
        <w:t>[1]</w:t>
      </w:r>
      <w:r>
        <w:t xml:space="preserve">, </w:t>
      </w:r>
      <w:r>
        <w:rPr>
          <w:lang w:eastAsia="ja-JP"/>
        </w:rPr>
        <w:t xml:space="preserve">SA2 asked RAN WG2 </w:t>
      </w:r>
      <w:r w:rsidR="000D5375">
        <w:rPr>
          <w:lang w:eastAsia="ja-JP"/>
        </w:rPr>
        <w:t>(</w:t>
      </w:r>
      <w:r>
        <w:rPr>
          <w:lang w:eastAsia="ja-JP"/>
        </w:rPr>
        <w:t>and RAN WG3</w:t>
      </w:r>
      <w:r w:rsidR="000D5375">
        <w:rPr>
          <w:lang w:eastAsia="ja-JP"/>
        </w:rPr>
        <w:t>)</w:t>
      </w:r>
      <w:r>
        <w:rPr>
          <w:lang w:eastAsia="ja-JP"/>
        </w:rPr>
        <w:t xml:space="preserve"> to check the impacts on RAN </w:t>
      </w:r>
      <w:r w:rsidR="000D5375">
        <w:rPr>
          <w:lang w:eastAsia="ja-JP"/>
        </w:rPr>
        <w:t xml:space="preserve">for providing per </w:t>
      </w:r>
      <w:bookmarkStart w:id="1" w:name="_Hlk61247443"/>
      <w:r w:rsidR="000D5375">
        <w:rPr>
          <w:lang w:eastAsia="ja-JP"/>
        </w:rPr>
        <w:t>UE Slice MBR enforcement</w:t>
      </w:r>
      <w:r w:rsidR="009F7092">
        <w:rPr>
          <w:lang w:eastAsia="ja-JP"/>
        </w:rPr>
        <w:t xml:space="preserve"> (UE SMBR)</w:t>
      </w:r>
      <w:r w:rsidR="000D5375">
        <w:rPr>
          <w:lang w:eastAsia="ja-JP"/>
        </w:rPr>
        <w:t xml:space="preserve">, </w:t>
      </w:r>
      <w:bookmarkEnd w:id="1"/>
      <w:r w:rsidR="000D5375">
        <w:rPr>
          <w:lang w:eastAsia="ja-JP"/>
        </w:rPr>
        <w:t>as quoted below:</w:t>
      </w:r>
    </w:p>
    <w:p w14:paraId="68F0528B" w14:textId="77777777" w:rsidR="00E87093" w:rsidRPr="00E87093" w:rsidRDefault="00E87093" w:rsidP="000D5375">
      <w:pPr>
        <w:pStyle w:val="ListParagraph"/>
        <w:numPr>
          <w:ilvl w:val="0"/>
          <w:numId w:val="26"/>
        </w:numPr>
        <w:overflowPunct/>
        <w:autoSpaceDE/>
        <w:autoSpaceDN/>
        <w:adjustRightInd/>
        <w:ind w:left="927"/>
        <w:contextualSpacing/>
        <w:textAlignment w:val="auto"/>
        <w:rPr>
          <w:rFonts w:eastAsia="Malgun Gothic"/>
          <w:color w:val="7030A0"/>
          <w:lang w:eastAsia="ja-JP"/>
        </w:rPr>
      </w:pPr>
      <w:r w:rsidRPr="00E87093">
        <w:rPr>
          <w:rFonts w:eastAsia="Malgun Gothic"/>
          <w:color w:val="7030A0"/>
          <w:lang w:eastAsia="ja-JP"/>
        </w:rPr>
        <w:t>Solution 22 propose to send maximum rate UL/DL for the slice for the UE (identified as SMBR – Slice MBR) over NG when the UE context is passed to the RAN. The RAN uses this parameter for two simultaneous purposes:</w:t>
      </w:r>
      <w:r w:rsidRPr="00E87093">
        <w:rPr>
          <w:rFonts w:eastAsia="Malgun Gothic"/>
          <w:color w:val="7030A0"/>
          <w:lang w:eastAsia="ja-JP"/>
        </w:rPr>
        <w:br/>
      </w:r>
    </w:p>
    <w:p w14:paraId="669B909C" w14:textId="77777777" w:rsidR="00E87093" w:rsidRPr="00E87093" w:rsidRDefault="00E87093" w:rsidP="000D5375">
      <w:pPr>
        <w:pStyle w:val="ListParagraph"/>
        <w:numPr>
          <w:ilvl w:val="0"/>
          <w:numId w:val="27"/>
        </w:numPr>
        <w:overflowPunct/>
        <w:autoSpaceDE/>
        <w:autoSpaceDN/>
        <w:adjustRightInd/>
        <w:ind w:left="1353"/>
        <w:contextualSpacing/>
        <w:textAlignment w:val="auto"/>
        <w:rPr>
          <w:rFonts w:eastAsia="Malgun Gothic"/>
          <w:color w:val="7030A0"/>
          <w:lang w:eastAsia="ja-JP"/>
        </w:rPr>
      </w:pPr>
      <w:r w:rsidRPr="00E87093">
        <w:rPr>
          <w:rFonts w:eastAsia="Malgun Gothic"/>
          <w:color w:val="7030A0"/>
          <w:lang w:eastAsia="ja-JP"/>
        </w:rPr>
        <w:t>Rate limit the aggregate of the UL/DL traffic for an S-NSSAI. During the rate-limit enforcement no GBR traffic shall be dropped or delayed.</w:t>
      </w:r>
      <w:r w:rsidRPr="00E87093">
        <w:rPr>
          <w:rFonts w:eastAsia="Malgun Gothic"/>
          <w:color w:val="7030A0"/>
          <w:lang w:eastAsia="ja-JP"/>
        </w:rPr>
        <w:br/>
      </w:r>
    </w:p>
    <w:p w14:paraId="7907A302" w14:textId="77777777" w:rsidR="00E87093" w:rsidRPr="00E87093" w:rsidRDefault="00E87093" w:rsidP="000D5375">
      <w:pPr>
        <w:pStyle w:val="ListParagraph"/>
        <w:numPr>
          <w:ilvl w:val="0"/>
          <w:numId w:val="27"/>
        </w:numPr>
        <w:overflowPunct/>
        <w:autoSpaceDE/>
        <w:autoSpaceDN/>
        <w:adjustRightInd/>
        <w:ind w:left="1353"/>
        <w:contextualSpacing/>
        <w:textAlignment w:val="auto"/>
        <w:rPr>
          <w:rFonts w:eastAsia="Malgun Gothic"/>
          <w:color w:val="7030A0"/>
          <w:lang w:eastAsia="ja-JP"/>
        </w:rPr>
      </w:pPr>
      <w:r w:rsidRPr="00E87093">
        <w:rPr>
          <w:rFonts w:eastAsia="Malgun Gothic"/>
          <w:color w:val="7030A0"/>
          <w:lang w:eastAsia="ja-JP"/>
        </w:rPr>
        <w:t>Ensure that the sum of all the admitted QoS flows GFBR of GBR resource type QoS flows is not exceeding the maximum rate per slice UL/DL for the UE. So, the admission control takes this parameter into account.</w:t>
      </w:r>
    </w:p>
    <w:p w14:paraId="6AB15905" w14:textId="5BD79747" w:rsidR="00E87093" w:rsidRDefault="00E87093" w:rsidP="000D5375">
      <w:pPr>
        <w:pStyle w:val="BodyText"/>
        <w:ind w:left="567"/>
        <w:rPr>
          <w:color w:val="7030A0"/>
        </w:rPr>
      </w:pPr>
    </w:p>
    <w:p w14:paraId="78D36F7B" w14:textId="27AED51B" w:rsidR="003434D4" w:rsidRPr="003434D4" w:rsidRDefault="003434D4" w:rsidP="003434D4">
      <w:pPr>
        <w:pStyle w:val="BodyText"/>
      </w:pPr>
      <w:r w:rsidRPr="003434D4">
        <w:t>RAN2 provided the following reply in [2</w:t>
      </w:r>
      <w:r>
        <w:t>]:</w:t>
      </w:r>
    </w:p>
    <w:p w14:paraId="71D48ADA" w14:textId="4E722550" w:rsidR="003434D4" w:rsidRDefault="003434D4" w:rsidP="003434D4">
      <w:pPr>
        <w:pStyle w:val="BodyText"/>
        <w:ind w:left="1134"/>
        <w:rPr>
          <w:color w:val="7030A0"/>
        </w:rPr>
      </w:pPr>
      <w:r w:rsidRPr="003434D4">
        <w:rPr>
          <w:color w:val="7030A0"/>
        </w:rPr>
        <w:t xml:space="preserve">In this solution RAN enforces uplink and downlink SMBR of UEs. This is a similar function as UE-AMBR enforcement at slice level. With proper configuration (LCG and LCH restrictions), the RAN is able to obtain and control </w:t>
      </w:r>
      <w:bookmarkStart w:id="2" w:name="_Hlk61243717"/>
      <w:r w:rsidRPr="003434D4">
        <w:rPr>
          <w:color w:val="7030A0"/>
        </w:rPr>
        <w:t>the UL data volume of a slice</w:t>
      </w:r>
      <w:bookmarkEnd w:id="2"/>
      <w:r w:rsidRPr="003434D4">
        <w:rPr>
          <w:color w:val="7030A0"/>
        </w:rPr>
        <w:t>. Therefore, many companies think the solution can be supported without changes to RAN2 specifications, but some companies do not agree, so RAN2 has no consensus on the matter and will continue to discuss.</w:t>
      </w:r>
    </w:p>
    <w:p w14:paraId="43067636" w14:textId="43E23983" w:rsidR="009F7092" w:rsidRDefault="009F7092" w:rsidP="003434D4">
      <w:pPr>
        <w:pStyle w:val="BodyText"/>
        <w:ind w:left="1134"/>
        <w:rPr>
          <w:color w:val="7030A0"/>
        </w:rPr>
      </w:pPr>
    </w:p>
    <w:p w14:paraId="58C52A6F" w14:textId="19EDE061" w:rsidR="009F7092" w:rsidRPr="00E87093" w:rsidRDefault="009F7092" w:rsidP="009F7092">
      <w:pPr>
        <w:pStyle w:val="BodyText"/>
        <w:rPr>
          <w:color w:val="7030A0"/>
        </w:rPr>
      </w:pPr>
      <w:r>
        <w:t xml:space="preserve">In this document we </w:t>
      </w:r>
      <w:r w:rsidRPr="003434D4">
        <w:t>provide</w:t>
      </w:r>
      <w:r>
        <w:t xml:space="preserve"> some further discussion on </w:t>
      </w:r>
      <w:r w:rsidRPr="009F7092">
        <w:t xml:space="preserve">the </w:t>
      </w:r>
      <w:r>
        <w:t xml:space="preserve">control of the </w:t>
      </w:r>
      <w:r w:rsidRPr="009F7092">
        <w:t>UL data volume of a slice</w:t>
      </w:r>
      <w:r w:rsidR="005B6827">
        <w:t xml:space="preserve"> in RAN</w:t>
      </w:r>
      <w:r w:rsidR="00971D80">
        <w:t>.</w:t>
      </w:r>
    </w:p>
    <w:p w14:paraId="09ED56CE" w14:textId="77777777" w:rsidR="00B85487" w:rsidRPr="00CE0424" w:rsidRDefault="00B85487" w:rsidP="00B85487">
      <w:pPr>
        <w:pStyle w:val="Heading1"/>
      </w:pPr>
      <w:r>
        <w:t>2</w:t>
      </w:r>
      <w:r>
        <w:tab/>
      </w:r>
      <w:r w:rsidRPr="00CE0424">
        <w:t>Discussion</w:t>
      </w:r>
    </w:p>
    <w:p w14:paraId="7B892720" w14:textId="08129B50" w:rsidR="000D1FD1" w:rsidRDefault="00222351" w:rsidP="009F7092">
      <w:pPr>
        <w:pStyle w:val="BodyText"/>
      </w:pPr>
      <w:r>
        <w:rPr>
          <w:lang w:val="sv-SE"/>
        </w:rPr>
        <w:t>W</w:t>
      </w:r>
      <w:r w:rsidR="00F03FDF">
        <w:rPr>
          <w:lang w:val="sv-SE"/>
        </w:rPr>
        <w:t>e note that the LCG (Logical Channel Group) concept is only used in the context of UE buffer status reporting</w:t>
      </w:r>
      <w:r w:rsidR="00305C2A">
        <w:rPr>
          <w:lang w:val="sv-SE"/>
        </w:rPr>
        <w:t xml:space="preserve"> (BSR)</w:t>
      </w:r>
      <w:r w:rsidR="00F03FDF">
        <w:rPr>
          <w:lang w:val="sv-SE"/>
        </w:rPr>
        <w:t xml:space="preserve">. </w:t>
      </w:r>
      <w:r w:rsidR="00305C2A">
        <w:rPr>
          <w:lang w:val="sv-SE"/>
        </w:rPr>
        <w:t xml:space="preserve">This is a </w:t>
      </w:r>
      <w:r w:rsidR="00305C2A">
        <w:t xml:space="preserve">tool that allows the UE to report BSRs for up to eight LCGs. </w:t>
      </w:r>
      <w:r w:rsidR="009E477D">
        <w:t xml:space="preserve">Possibly one could configure LCGs such that the BSRs reflect the UL resource need of a slice. </w:t>
      </w:r>
      <w:r w:rsidR="009E477D">
        <w:br/>
      </w:r>
      <w:r w:rsidR="002878EE">
        <w:t>However, t</w:t>
      </w:r>
      <w:r w:rsidR="003E2F05">
        <w:t xml:space="preserve">he </w:t>
      </w:r>
      <w:r w:rsidR="002878EE">
        <w:t xml:space="preserve">configured </w:t>
      </w:r>
      <w:r w:rsidR="003E2F05">
        <w:t>LCG</w:t>
      </w:r>
      <w:r w:rsidR="002878EE">
        <w:t>s</w:t>
      </w:r>
      <w:r w:rsidR="003E2F05">
        <w:t xml:space="preserve"> </w:t>
      </w:r>
      <w:r w:rsidR="002878EE">
        <w:t xml:space="preserve">do </w:t>
      </w:r>
      <w:r w:rsidR="003E2F05">
        <w:t xml:space="preserve">not </w:t>
      </w:r>
      <w:r w:rsidR="002878EE">
        <w:t xml:space="preserve">determine how </w:t>
      </w:r>
      <w:r w:rsidR="003E2F05">
        <w:t xml:space="preserve">the UE shares the </w:t>
      </w:r>
      <w:r w:rsidR="002878EE">
        <w:t xml:space="preserve">granted </w:t>
      </w:r>
      <w:r w:rsidR="003E2F05">
        <w:t xml:space="preserve">uplink resources between </w:t>
      </w:r>
      <w:r w:rsidR="002878EE">
        <w:t>its</w:t>
      </w:r>
      <w:r w:rsidR="003E2F05">
        <w:t xml:space="preserve"> logical channels.</w:t>
      </w:r>
      <w:r w:rsidR="009E477D">
        <w:t xml:space="preserve"> T</w:t>
      </w:r>
      <w:r w:rsidR="003E2F05">
        <w:t>he uplink grant is for the UE, that is, it does not provide resources to specific logical channels</w:t>
      </w:r>
      <w:r w:rsidR="009E477D">
        <w:t xml:space="preserve"> or LCGs</w:t>
      </w:r>
      <w:r w:rsidR="00971D80">
        <w:t>.</w:t>
      </w:r>
    </w:p>
    <w:p w14:paraId="6AD46D38" w14:textId="30A315D4" w:rsidR="00C026E4" w:rsidRDefault="003E2F05" w:rsidP="009F7092">
      <w:pPr>
        <w:pStyle w:val="BodyText"/>
      </w:pPr>
      <w:r>
        <w:t xml:space="preserve">From [3], section </w:t>
      </w:r>
      <w:r w:rsidR="00C026E4">
        <w:t xml:space="preserve">10.5.2: </w:t>
      </w:r>
    </w:p>
    <w:p w14:paraId="224854D8" w14:textId="61F32BBB" w:rsidR="003E2F05" w:rsidRPr="00C026E4" w:rsidRDefault="003E2F05" w:rsidP="009F7092">
      <w:pPr>
        <w:pStyle w:val="BodyText"/>
        <w:ind w:left="1134"/>
        <w:rPr>
          <w:color w:val="7030A0"/>
        </w:rPr>
      </w:pPr>
      <w:r w:rsidRPr="00C026E4">
        <w:rPr>
          <w:color w:val="7030A0"/>
        </w:rPr>
        <w:t>The UE has an uplink rate control function which manages the sharing of uplink resources between logical channels. RRC controls the uplink rate control function by giving each logical channel a priority, a prioritised bit rate (PBR), and a buffer size duration (BSD).</w:t>
      </w:r>
    </w:p>
    <w:p w14:paraId="094C02E1" w14:textId="441726A3" w:rsidR="00C026E4" w:rsidRPr="00C026E4" w:rsidRDefault="00C026E4" w:rsidP="009F7092">
      <w:pPr>
        <w:pStyle w:val="BodyText"/>
        <w:ind w:left="1134"/>
        <w:rPr>
          <w:color w:val="7030A0"/>
        </w:rPr>
      </w:pPr>
    </w:p>
    <w:p w14:paraId="545F093C" w14:textId="77777777" w:rsidR="00C026E4" w:rsidRPr="00C026E4" w:rsidRDefault="00C026E4" w:rsidP="009F7092">
      <w:pPr>
        <w:pStyle w:val="BodyText"/>
        <w:ind w:left="1134"/>
        <w:rPr>
          <w:color w:val="7030A0"/>
        </w:rPr>
      </w:pPr>
      <w:r w:rsidRPr="00C026E4">
        <w:rPr>
          <w:color w:val="7030A0"/>
        </w:rPr>
        <w:t>The values signalled need not be related to the ones signalled via NG to the gNB. In addition, mapping restrictions can be configured (see clause 16.1.2).</w:t>
      </w:r>
    </w:p>
    <w:p w14:paraId="5CF225DA" w14:textId="77777777" w:rsidR="00C026E4" w:rsidRPr="00C026E4" w:rsidRDefault="00C026E4" w:rsidP="009F7092">
      <w:pPr>
        <w:pStyle w:val="BodyText"/>
        <w:ind w:left="1134"/>
        <w:rPr>
          <w:color w:val="7030A0"/>
        </w:rPr>
      </w:pPr>
      <w:r w:rsidRPr="00C026E4">
        <w:rPr>
          <w:color w:val="7030A0"/>
        </w:rPr>
        <w:lastRenderedPageBreak/>
        <w:t>The uplink rate control function ensures that the UE serves the logical channel(s) in the following sequence:</w:t>
      </w:r>
    </w:p>
    <w:p w14:paraId="50A2FAFB" w14:textId="77777777" w:rsidR="00C026E4" w:rsidRPr="00C026E4" w:rsidRDefault="00C026E4" w:rsidP="009F7092">
      <w:pPr>
        <w:pStyle w:val="BodyText"/>
        <w:ind w:left="1134"/>
        <w:rPr>
          <w:color w:val="7030A0"/>
        </w:rPr>
      </w:pPr>
      <w:r w:rsidRPr="00C026E4">
        <w:rPr>
          <w:color w:val="7030A0"/>
        </w:rPr>
        <w:t>1.</w:t>
      </w:r>
      <w:r w:rsidRPr="00C026E4">
        <w:rPr>
          <w:color w:val="7030A0"/>
        </w:rPr>
        <w:tab/>
        <w:t>All relevant logical channels in decreasing priority order up to their PBR;</w:t>
      </w:r>
    </w:p>
    <w:p w14:paraId="17834069" w14:textId="77777777" w:rsidR="00C026E4" w:rsidRPr="00C026E4" w:rsidRDefault="00C026E4" w:rsidP="009F7092">
      <w:pPr>
        <w:pStyle w:val="BodyText"/>
        <w:ind w:left="1134"/>
        <w:rPr>
          <w:color w:val="7030A0"/>
        </w:rPr>
      </w:pPr>
      <w:r w:rsidRPr="00C026E4">
        <w:rPr>
          <w:color w:val="7030A0"/>
        </w:rPr>
        <w:t>2.</w:t>
      </w:r>
      <w:r w:rsidRPr="00C026E4">
        <w:rPr>
          <w:color w:val="7030A0"/>
        </w:rPr>
        <w:tab/>
        <w:t>All relevant logical channels in decreasing priority order for the remaining resources assigned by the grant.</w:t>
      </w:r>
    </w:p>
    <w:p w14:paraId="62E4F543" w14:textId="77777777" w:rsidR="005B6827" w:rsidRDefault="005B6827" w:rsidP="009F7092">
      <w:pPr>
        <w:pStyle w:val="BodyText"/>
        <w:rPr>
          <w:lang w:val="sv-SE"/>
        </w:rPr>
      </w:pPr>
    </w:p>
    <w:p w14:paraId="6C2BB4E2" w14:textId="4B57B0D5" w:rsidR="008759E2" w:rsidRPr="008759E2" w:rsidRDefault="008759E2" w:rsidP="009F7092">
      <w:pPr>
        <w:pStyle w:val="BodyText"/>
        <w:rPr>
          <w:lang w:val="sv-SE"/>
        </w:rPr>
      </w:pPr>
      <w:r w:rsidRPr="008759E2">
        <w:rPr>
          <w:lang w:val="sv-SE"/>
        </w:rPr>
        <w:t xml:space="preserve">The </w:t>
      </w:r>
      <w:r>
        <w:rPr>
          <w:lang w:val="sv-SE"/>
        </w:rPr>
        <w:t xml:space="preserve">purpose of the </w:t>
      </w:r>
      <w:r w:rsidRPr="008759E2">
        <w:rPr>
          <w:lang w:val="sv-SE"/>
        </w:rPr>
        <w:t xml:space="preserve">prioritized bit rate </w:t>
      </w:r>
      <w:r>
        <w:rPr>
          <w:lang w:val="sv-SE"/>
        </w:rPr>
        <w:t xml:space="preserve">(PBR) </w:t>
      </w:r>
      <w:r w:rsidRPr="008759E2">
        <w:rPr>
          <w:lang w:val="sv-SE"/>
        </w:rPr>
        <w:t xml:space="preserve">is to </w:t>
      </w:r>
      <w:r w:rsidR="00721C1B">
        <w:rPr>
          <w:lang w:val="sv-SE"/>
        </w:rPr>
        <w:t>ensure that a higher priority LCH gets a required minimum data rate (</w:t>
      </w:r>
      <w:r w:rsidR="00382234">
        <w:rPr>
          <w:lang w:val="sv-SE"/>
        </w:rPr>
        <w:t xml:space="preserve">the </w:t>
      </w:r>
      <w:r w:rsidR="00721C1B">
        <w:rPr>
          <w:lang w:val="sv-SE"/>
        </w:rPr>
        <w:t xml:space="preserve">PBR) while not starving out lower-priority LCHs. </w:t>
      </w:r>
      <w:r w:rsidR="00382234">
        <w:rPr>
          <w:lang w:val="sv-SE"/>
        </w:rPr>
        <w:t xml:space="preserve">However, the configured PBR does intentionally not prevent the LCH (and hence the associated slice) to grab additional resources if those are available by the UL grants. Hence, setting the PBR to the (sum of the) slice MBR value(s) will not only fail to enforce the Slice-MBR but also defeat the </w:t>
      </w:r>
      <w:r w:rsidR="006432EB">
        <w:rPr>
          <w:lang w:val="sv-SE"/>
        </w:rPr>
        <w:t xml:space="preserve">original purpose </w:t>
      </w:r>
      <w:r w:rsidR="00894FFF">
        <w:rPr>
          <w:lang w:val="sv-SE"/>
        </w:rPr>
        <w:t xml:space="preserve">of the </w:t>
      </w:r>
      <w:r w:rsidR="00382234">
        <w:rPr>
          <w:lang w:val="sv-SE"/>
        </w:rPr>
        <w:t>PBR</w:t>
      </w:r>
      <w:r w:rsidR="00357393">
        <w:rPr>
          <w:lang w:val="sv-SE"/>
        </w:rPr>
        <w:t>.</w:t>
      </w:r>
    </w:p>
    <w:p w14:paraId="63C745F9" w14:textId="7E27B271" w:rsidR="008759E2" w:rsidRDefault="0063332C" w:rsidP="009F7092">
      <w:pPr>
        <w:pStyle w:val="BodyText"/>
        <w:rPr>
          <w:lang w:val="sv-SE"/>
        </w:rPr>
      </w:pPr>
      <w:r>
        <w:rPr>
          <w:lang w:val="sv-SE"/>
        </w:rPr>
        <w:t xml:space="preserve">Therefore, we </w:t>
      </w:r>
      <w:r w:rsidR="00915910">
        <w:rPr>
          <w:lang w:val="sv-SE"/>
        </w:rPr>
        <w:t xml:space="preserve">do not see how configuration of </w:t>
      </w:r>
      <w:r w:rsidR="00894FFF">
        <w:rPr>
          <w:lang w:val="sv-SE"/>
        </w:rPr>
        <w:t xml:space="preserve">LCP </w:t>
      </w:r>
      <w:r w:rsidR="00894FFF" w:rsidRPr="00CE34CA">
        <w:rPr>
          <w:lang w:val="sv-SE"/>
        </w:rPr>
        <w:t xml:space="preserve">restrictions (see </w:t>
      </w:r>
      <w:r w:rsidR="005B6827" w:rsidRPr="00CE34CA">
        <w:rPr>
          <w:lang w:val="sv-SE"/>
        </w:rPr>
        <w:t>3</w:t>
      </w:r>
      <w:r w:rsidR="00707542" w:rsidRPr="00CE34CA">
        <w:rPr>
          <w:lang w:val="sv-SE"/>
        </w:rPr>
        <w:t>8</w:t>
      </w:r>
      <w:r w:rsidR="00CE34CA" w:rsidRPr="00CE34CA">
        <w:rPr>
          <w:lang w:val="sv-SE"/>
        </w:rPr>
        <w:t>.</w:t>
      </w:r>
      <w:r w:rsidR="005B6827" w:rsidRPr="00CE34CA">
        <w:rPr>
          <w:lang w:val="sv-SE"/>
        </w:rPr>
        <w:t>300 16.1.2</w:t>
      </w:r>
      <w:r w:rsidR="00894FFF" w:rsidRPr="00CE34CA">
        <w:rPr>
          <w:lang w:val="sv-SE"/>
        </w:rPr>
        <w:t xml:space="preserve">) </w:t>
      </w:r>
      <w:r w:rsidR="00915910" w:rsidRPr="00CE34CA">
        <w:rPr>
          <w:lang w:val="sv-SE"/>
        </w:rPr>
        <w:t>would</w:t>
      </w:r>
      <w:r w:rsidR="00915910">
        <w:rPr>
          <w:lang w:val="sv-SE"/>
        </w:rPr>
        <w:t xml:space="preserve"> assist in SMBR enforcement.</w:t>
      </w:r>
    </w:p>
    <w:p w14:paraId="6D5D793C" w14:textId="1C5B84A6" w:rsidR="00D83E0D" w:rsidRDefault="00D83E0D" w:rsidP="00A6756D">
      <w:pPr>
        <w:pStyle w:val="BodyText"/>
      </w:pPr>
      <w:r>
        <w:t>We propose to discuss and agree on the following</w:t>
      </w:r>
      <w:r w:rsidR="00971D80">
        <w:t>:</w:t>
      </w:r>
    </w:p>
    <w:p w14:paraId="39D4E6BA" w14:textId="77777777" w:rsidR="00A73821" w:rsidRDefault="00A73821" w:rsidP="00A73821">
      <w:pPr>
        <w:overflowPunct/>
        <w:autoSpaceDE/>
        <w:autoSpaceDN/>
        <w:adjustRightInd/>
        <w:spacing w:after="0"/>
        <w:textAlignment w:val="auto"/>
      </w:pPr>
    </w:p>
    <w:p w14:paraId="37A4326E" w14:textId="1066DFF7" w:rsidR="00A73821" w:rsidRDefault="00A73821" w:rsidP="00A73821">
      <w:pPr>
        <w:pStyle w:val="Proposal"/>
      </w:pPr>
      <w:r>
        <w:t xml:space="preserve">UL SMBR enforcement </w:t>
      </w:r>
      <w:r w:rsidR="00971D80">
        <w:t xml:space="preserve">in RAN </w:t>
      </w:r>
      <w:r>
        <w:t>using configuration of LCG, P</w:t>
      </w:r>
      <w:r w:rsidR="00D65563">
        <w:t>BR</w:t>
      </w:r>
      <w:r>
        <w:t xml:space="preserve"> and LCH restrictions is not feasible.</w:t>
      </w:r>
    </w:p>
    <w:p w14:paraId="3A754EAF" w14:textId="77777777" w:rsidR="00DC6C47" w:rsidRDefault="0063332C" w:rsidP="009F7092">
      <w:pPr>
        <w:pStyle w:val="BodyText"/>
        <w:rPr>
          <w:lang w:val="sv-SE"/>
        </w:rPr>
      </w:pPr>
      <w:r>
        <w:rPr>
          <w:lang w:val="sv-SE"/>
        </w:rPr>
        <w:t xml:space="preserve">To restrict the aggregate throughput of all DRBs belonging to one slice, the gNB </w:t>
      </w:r>
      <w:r w:rsidR="00A73821">
        <w:rPr>
          <w:lang w:val="sv-SE"/>
        </w:rPr>
        <w:t xml:space="preserve">could </w:t>
      </w:r>
      <w:r>
        <w:rPr>
          <w:lang w:val="sv-SE"/>
        </w:rPr>
        <w:t xml:space="preserve">apply rate policing/shaping. That means, it could </w:t>
      </w:r>
      <w:r w:rsidR="00A73821">
        <w:rPr>
          <w:lang w:val="sv-SE"/>
        </w:rPr>
        <w:t xml:space="preserve">drop/delay UL </w:t>
      </w:r>
      <w:r>
        <w:rPr>
          <w:lang w:val="sv-SE"/>
        </w:rPr>
        <w:t xml:space="preserve">PDCP </w:t>
      </w:r>
      <w:r w:rsidR="00A73821">
        <w:rPr>
          <w:lang w:val="sv-SE"/>
        </w:rPr>
        <w:t xml:space="preserve">packets </w:t>
      </w:r>
      <w:r>
        <w:rPr>
          <w:lang w:val="sv-SE"/>
        </w:rPr>
        <w:t>before/</w:t>
      </w:r>
      <w:r w:rsidR="00A73821">
        <w:rPr>
          <w:lang w:val="sv-SE"/>
        </w:rPr>
        <w:t xml:space="preserve">instead of delivering them to CN. This </w:t>
      </w:r>
      <w:r>
        <w:rPr>
          <w:lang w:val="sv-SE"/>
        </w:rPr>
        <w:t xml:space="preserve">may work well if </w:t>
      </w:r>
      <w:r w:rsidR="00A73821">
        <w:rPr>
          <w:lang w:val="sv-SE"/>
        </w:rPr>
        <w:t xml:space="preserve">the source application </w:t>
      </w:r>
      <w:r>
        <w:rPr>
          <w:lang w:val="sv-SE"/>
        </w:rPr>
        <w:t xml:space="preserve">and transport protocol </w:t>
      </w:r>
      <w:r w:rsidR="00A73821">
        <w:rPr>
          <w:lang w:val="sv-SE"/>
        </w:rPr>
        <w:t xml:space="preserve">in UE </w:t>
      </w:r>
      <w:r>
        <w:rPr>
          <w:lang w:val="sv-SE"/>
        </w:rPr>
        <w:t xml:space="preserve">are responsive to congestion signals, i.e., if it </w:t>
      </w:r>
      <w:r w:rsidR="00A73821">
        <w:rPr>
          <w:lang w:val="sv-SE"/>
        </w:rPr>
        <w:t xml:space="preserve">reduces </w:t>
      </w:r>
      <w:r>
        <w:rPr>
          <w:lang w:val="sv-SE"/>
        </w:rPr>
        <w:t xml:space="preserve">its </w:t>
      </w:r>
      <w:r w:rsidR="00A73821">
        <w:rPr>
          <w:lang w:val="sv-SE"/>
        </w:rPr>
        <w:t>data rate</w:t>
      </w:r>
      <w:r>
        <w:rPr>
          <w:lang w:val="sv-SE"/>
        </w:rPr>
        <w:t xml:space="preserve"> in response to dropped or marked packets</w:t>
      </w:r>
      <w:r w:rsidR="00A73821">
        <w:rPr>
          <w:lang w:val="sv-SE"/>
        </w:rPr>
        <w:t xml:space="preserve">. </w:t>
      </w:r>
      <w:r>
        <w:rPr>
          <w:lang w:val="sv-SE"/>
        </w:rPr>
        <w:t>It it does not, radio resources may be used to transfer UL packets which are subsequently dropped by the gNB’s rate policer/shaper.</w:t>
      </w:r>
      <w:r w:rsidR="0076669F">
        <w:rPr>
          <w:lang w:val="sv-SE"/>
        </w:rPr>
        <w:t xml:space="preserve"> </w:t>
      </w:r>
    </w:p>
    <w:p w14:paraId="56EC7A4B" w14:textId="41586571" w:rsidR="00A73821" w:rsidRDefault="0063332C" w:rsidP="009F7092">
      <w:pPr>
        <w:pStyle w:val="BodyText"/>
        <w:rPr>
          <w:lang w:val="sv-SE"/>
        </w:rPr>
      </w:pPr>
      <w:r>
        <w:rPr>
          <w:lang w:val="sv-SE"/>
        </w:rPr>
        <w:t>We would like to point out that an uplink rate policer/shaper in the CN domain would suffer from the same limitation. Only a rate shaper in the UE could avoid this</w:t>
      </w:r>
      <w:r w:rsidR="0076669F">
        <w:rPr>
          <w:lang w:val="sv-SE"/>
        </w:rPr>
        <w:t xml:space="preserve">. Admittedly, one could argue that a UE-based rate shaper isn’t trustworthy either. But a well-behaving rate shaper in the UE’s modem could ensure that other applications (slices) in the same UE get their fair share of radio resources. </w:t>
      </w:r>
    </w:p>
    <w:p w14:paraId="77388008" w14:textId="77777777" w:rsidR="00DC6C47" w:rsidRDefault="00DC6C47" w:rsidP="009F7092">
      <w:pPr>
        <w:pStyle w:val="BodyText"/>
        <w:rPr>
          <w:lang w:val="sv-SE"/>
        </w:rPr>
      </w:pPr>
    </w:p>
    <w:p w14:paraId="49B591FC" w14:textId="2A37DE98" w:rsidR="0076669F" w:rsidRDefault="0076669F" w:rsidP="0076669F">
      <w:pPr>
        <w:pStyle w:val="Observation"/>
        <w:rPr>
          <w:lang w:val="sv-SE"/>
        </w:rPr>
      </w:pPr>
      <w:r>
        <w:rPr>
          <w:lang w:val="sv-SE"/>
        </w:rPr>
        <w:t xml:space="preserve">An UL rate-shaper/policer in the gNB or CN could enforce a per-slice MBR provided that the application and transport protocol are responsive to </w:t>
      </w:r>
      <w:r w:rsidR="009D55EF">
        <w:rPr>
          <w:lang w:val="sv-SE"/>
        </w:rPr>
        <w:t>congestion signals (</w:t>
      </w:r>
      <w:r>
        <w:rPr>
          <w:lang w:val="sv-SE"/>
        </w:rPr>
        <w:t>packet loss/drop</w:t>
      </w:r>
      <w:r w:rsidR="009D55EF">
        <w:rPr>
          <w:lang w:val="sv-SE"/>
        </w:rPr>
        <w:t>)</w:t>
      </w:r>
      <w:r>
        <w:rPr>
          <w:lang w:val="sv-SE"/>
        </w:rPr>
        <w:t xml:space="preserve">. </w:t>
      </w:r>
    </w:p>
    <w:p w14:paraId="2838A3B5" w14:textId="3162CDFC" w:rsidR="0076669F" w:rsidRDefault="0076669F" w:rsidP="00CE34CA">
      <w:pPr>
        <w:pStyle w:val="Observation"/>
        <w:rPr>
          <w:lang w:val="sv-SE"/>
        </w:rPr>
      </w:pPr>
      <w:r>
        <w:rPr>
          <w:lang w:val="sv-SE"/>
        </w:rPr>
        <w:t xml:space="preserve">Only a UE based rate shaper/policer could ensure that other slices/bearers of the same UE get their fair share of resources even if applications on one slice are not responsive to </w:t>
      </w:r>
      <w:r w:rsidR="009D55EF">
        <w:rPr>
          <w:lang w:val="sv-SE"/>
        </w:rPr>
        <w:t>congestion signals</w:t>
      </w:r>
      <w:r>
        <w:rPr>
          <w:lang w:val="sv-SE"/>
        </w:rPr>
        <w:t xml:space="preserve">. </w:t>
      </w:r>
    </w:p>
    <w:p w14:paraId="4BC8E678" w14:textId="0F0709D0" w:rsidR="005B6827" w:rsidRDefault="00A73821" w:rsidP="0085446B">
      <w:pPr>
        <w:pStyle w:val="Observation"/>
      </w:pPr>
      <w:r>
        <w:t>Enforcement of UL SMBR can be implemented RAN by dropping</w:t>
      </w:r>
      <w:r w:rsidR="00D83E0D">
        <w:t>/delaying packets. This relies on that the application in UE reduces the data rate.</w:t>
      </w:r>
    </w:p>
    <w:p w14:paraId="74F810D0" w14:textId="77777777" w:rsidR="005B6827" w:rsidRDefault="005B6827" w:rsidP="004B06DD">
      <w:pPr>
        <w:overflowPunct/>
        <w:autoSpaceDE/>
        <w:autoSpaceDN/>
        <w:adjustRightInd/>
        <w:spacing w:after="0"/>
        <w:textAlignment w:val="auto"/>
      </w:pPr>
    </w:p>
    <w:p w14:paraId="2FFEF975" w14:textId="77777777" w:rsidR="00D83E0D" w:rsidRPr="00CE0424" w:rsidRDefault="00D83E0D" w:rsidP="00D83E0D">
      <w:pPr>
        <w:pStyle w:val="Heading1"/>
      </w:pPr>
      <w:r w:rsidRPr="00CE0424">
        <w:t>Conclusion</w:t>
      </w:r>
    </w:p>
    <w:p w14:paraId="0AFCA9B3" w14:textId="4F01B621" w:rsidR="005B6827" w:rsidRDefault="00D83E0D" w:rsidP="00A6756D">
      <w:pPr>
        <w:pStyle w:val="BodyText"/>
      </w:pPr>
      <w:r>
        <w:t xml:space="preserve">In this document, we have discussed aspects on </w:t>
      </w:r>
      <w:r w:rsidRPr="00D83E0D">
        <w:t xml:space="preserve">UE </w:t>
      </w:r>
      <w:r w:rsidR="0085446B">
        <w:t xml:space="preserve">UL </w:t>
      </w:r>
      <w:r w:rsidRPr="00D83E0D">
        <w:t>Slice MBR enforcement (UE SMBR)</w:t>
      </w:r>
      <w:r>
        <w:t xml:space="preserve"> in RAN</w:t>
      </w:r>
      <w:r w:rsidR="00707542">
        <w:t>, and made the following observations:</w:t>
      </w:r>
    </w:p>
    <w:p w14:paraId="0FB4F66B" w14:textId="77777777" w:rsidR="00DC6C47" w:rsidRDefault="00DC6C47" w:rsidP="00A6756D">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3"/>
      </w:tblGrid>
      <w:tr w:rsidR="0085446B" w14:paraId="07C30D54" w14:textId="77777777" w:rsidTr="00DC6C47">
        <w:tc>
          <w:tcPr>
            <w:tcW w:w="1696" w:type="dxa"/>
          </w:tcPr>
          <w:p w14:paraId="6E28915B" w14:textId="32E325F6" w:rsidR="0085446B" w:rsidRPr="00DC6C47" w:rsidRDefault="00DC6C47" w:rsidP="00A6756D">
            <w:pPr>
              <w:pStyle w:val="BodyText"/>
              <w:rPr>
                <w:b/>
                <w:bCs/>
                <w:sz w:val="20"/>
                <w:szCs w:val="20"/>
              </w:rPr>
            </w:pPr>
            <w:r w:rsidRPr="00DC6C47">
              <w:rPr>
                <w:b/>
                <w:bCs/>
                <w:sz w:val="20"/>
                <w:szCs w:val="20"/>
              </w:rPr>
              <w:t xml:space="preserve">Observation </w:t>
            </w:r>
            <w:r>
              <w:rPr>
                <w:b/>
                <w:bCs/>
                <w:sz w:val="20"/>
                <w:szCs w:val="20"/>
              </w:rPr>
              <w:t>1</w:t>
            </w:r>
            <w:r w:rsidRPr="00DC6C47">
              <w:rPr>
                <w:b/>
                <w:bCs/>
                <w:sz w:val="20"/>
                <w:szCs w:val="20"/>
              </w:rPr>
              <w:tab/>
            </w:r>
          </w:p>
        </w:tc>
        <w:tc>
          <w:tcPr>
            <w:tcW w:w="7933" w:type="dxa"/>
          </w:tcPr>
          <w:p w14:paraId="255D4F97" w14:textId="4EFC77DD" w:rsidR="0085446B" w:rsidRPr="00DC6C47" w:rsidRDefault="00DC6C47" w:rsidP="00A6756D">
            <w:pPr>
              <w:pStyle w:val="BodyText"/>
              <w:rPr>
                <w:b/>
                <w:bCs/>
                <w:sz w:val="20"/>
                <w:szCs w:val="20"/>
              </w:rPr>
            </w:pPr>
            <w:r w:rsidRPr="00DC6C47">
              <w:rPr>
                <w:b/>
                <w:bCs/>
                <w:sz w:val="20"/>
                <w:szCs w:val="20"/>
              </w:rPr>
              <w:t>An UL rate-shaper/policer in the gNB or CN could enforce a per-slice MBR provided that the application and transport protocol are responsive to congestion signals (packet loss/drop).</w:t>
            </w:r>
          </w:p>
        </w:tc>
      </w:tr>
      <w:tr w:rsidR="0085446B" w14:paraId="699ED87B" w14:textId="77777777" w:rsidTr="00DC6C47">
        <w:tc>
          <w:tcPr>
            <w:tcW w:w="1696" w:type="dxa"/>
          </w:tcPr>
          <w:p w14:paraId="60E30F34" w14:textId="1B28D6C5" w:rsidR="0085446B" w:rsidRPr="00DC6C47" w:rsidRDefault="00DC6C47" w:rsidP="00A6756D">
            <w:pPr>
              <w:pStyle w:val="BodyText"/>
              <w:rPr>
                <w:b/>
                <w:bCs/>
                <w:sz w:val="20"/>
                <w:szCs w:val="20"/>
              </w:rPr>
            </w:pPr>
            <w:r w:rsidRPr="00DC6C47">
              <w:rPr>
                <w:b/>
                <w:bCs/>
                <w:sz w:val="20"/>
                <w:szCs w:val="20"/>
              </w:rPr>
              <w:t xml:space="preserve">Observation </w:t>
            </w:r>
            <w:r>
              <w:rPr>
                <w:b/>
                <w:bCs/>
                <w:sz w:val="20"/>
                <w:szCs w:val="20"/>
              </w:rPr>
              <w:t>2</w:t>
            </w:r>
            <w:r w:rsidRPr="00DC6C47">
              <w:rPr>
                <w:b/>
                <w:bCs/>
                <w:sz w:val="20"/>
                <w:szCs w:val="20"/>
              </w:rPr>
              <w:tab/>
            </w:r>
          </w:p>
        </w:tc>
        <w:tc>
          <w:tcPr>
            <w:tcW w:w="7933" w:type="dxa"/>
          </w:tcPr>
          <w:p w14:paraId="01CB26DF" w14:textId="2077D82D" w:rsidR="0085446B" w:rsidRPr="00DC6C47" w:rsidRDefault="00DC6C47" w:rsidP="00A6756D">
            <w:pPr>
              <w:pStyle w:val="BodyText"/>
              <w:rPr>
                <w:b/>
                <w:bCs/>
                <w:sz w:val="20"/>
                <w:szCs w:val="20"/>
              </w:rPr>
            </w:pPr>
            <w:r w:rsidRPr="00DC6C47">
              <w:rPr>
                <w:b/>
                <w:bCs/>
                <w:sz w:val="20"/>
                <w:szCs w:val="20"/>
              </w:rPr>
              <w:t>Only a UE based rate shaper/policer could ensure that other slices/bearers of the same UE get their fair share of resources even if applications on one slice are not responsive to congestion signals.</w:t>
            </w:r>
          </w:p>
        </w:tc>
      </w:tr>
      <w:tr w:rsidR="0085446B" w14:paraId="68EB5433" w14:textId="77777777" w:rsidTr="00DC6C47">
        <w:tc>
          <w:tcPr>
            <w:tcW w:w="1696" w:type="dxa"/>
          </w:tcPr>
          <w:p w14:paraId="0DE3CB9E" w14:textId="633C37E5" w:rsidR="0085446B" w:rsidRPr="00DC6C47" w:rsidRDefault="00DC6C47" w:rsidP="00A6756D">
            <w:pPr>
              <w:pStyle w:val="BodyText"/>
              <w:rPr>
                <w:b/>
                <w:bCs/>
                <w:sz w:val="20"/>
                <w:szCs w:val="20"/>
              </w:rPr>
            </w:pPr>
            <w:r w:rsidRPr="00DC6C47">
              <w:rPr>
                <w:b/>
                <w:bCs/>
                <w:sz w:val="20"/>
                <w:szCs w:val="20"/>
              </w:rPr>
              <w:t xml:space="preserve">Observation </w:t>
            </w:r>
            <w:r>
              <w:rPr>
                <w:b/>
                <w:bCs/>
                <w:sz w:val="20"/>
                <w:szCs w:val="20"/>
              </w:rPr>
              <w:t>3</w:t>
            </w:r>
            <w:r w:rsidRPr="00DC6C47">
              <w:rPr>
                <w:b/>
                <w:bCs/>
                <w:sz w:val="20"/>
                <w:szCs w:val="20"/>
              </w:rPr>
              <w:tab/>
            </w:r>
          </w:p>
        </w:tc>
        <w:tc>
          <w:tcPr>
            <w:tcW w:w="7933" w:type="dxa"/>
          </w:tcPr>
          <w:p w14:paraId="77072A36" w14:textId="7D23A4CB" w:rsidR="0085446B" w:rsidRPr="00DC6C47" w:rsidRDefault="00DC6C47" w:rsidP="00A6756D">
            <w:pPr>
              <w:pStyle w:val="BodyText"/>
              <w:rPr>
                <w:b/>
                <w:bCs/>
                <w:sz w:val="20"/>
                <w:szCs w:val="20"/>
              </w:rPr>
            </w:pPr>
            <w:r w:rsidRPr="00DC6C47">
              <w:rPr>
                <w:b/>
                <w:bCs/>
                <w:sz w:val="20"/>
                <w:szCs w:val="20"/>
              </w:rPr>
              <w:t>Enforcement of UL SMBR can be implemented RAN by dropping/delaying packets. This relies on that the application in UE reduces the data rate.</w:t>
            </w:r>
          </w:p>
        </w:tc>
      </w:tr>
    </w:tbl>
    <w:p w14:paraId="1DC5D4D3" w14:textId="77777777" w:rsidR="00CE34CA" w:rsidRDefault="00CE34CA" w:rsidP="00A6756D">
      <w:pPr>
        <w:pStyle w:val="BodyText"/>
      </w:pPr>
    </w:p>
    <w:p w14:paraId="3EB88FF8" w14:textId="369309E5" w:rsidR="00D83E0D" w:rsidRDefault="00D83E0D" w:rsidP="00A6756D">
      <w:pPr>
        <w:pStyle w:val="BodyText"/>
      </w:pPr>
      <w:r>
        <w:lastRenderedPageBreak/>
        <w:t>We ask RAN2 to discus and agree on the following:</w:t>
      </w:r>
    </w:p>
    <w:p w14:paraId="22B03DB7" w14:textId="3564B5CA" w:rsidR="00D83E0D" w:rsidRDefault="00D83E0D" w:rsidP="00A6756D">
      <w:pPr>
        <w:pStyle w:val="Proposal"/>
        <w:numPr>
          <w:ilvl w:val="0"/>
          <w:numId w:val="31"/>
        </w:numPr>
      </w:pPr>
      <w:r>
        <w:t xml:space="preserve">UL SMBR </w:t>
      </w:r>
      <w:r w:rsidRPr="00A6756D">
        <w:t>enforcement</w:t>
      </w:r>
      <w:r>
        <w:t xml:space="preserve"> </w:t>
      </w:r>
      <w:r w:rsidR="00971D80">
        <w:t xml:space="preserve">in RAN </w:t>
      </w:r>
      <w:r>
        <w:t>using configuration of existing LCG, PRB and LCH restrictions is not feasible.</w:t>
      </w:r>
    </w:p>
    <w:p w14:paraId="739EDAD3" w14:textId="303DC5B1" w:rsidR="00DC6C47" w:rsidRDefault="00DC6C47" w:rsidP="00DC6C47">
      <w:pPr>
        <w:pStyle w:val="Proposal"/>
        <w:numPr>
          <w:ilvl w:val="0"/>
          <w:numId w:val="0"/>
        </w:numPr>
      </w:pPr>
    </w:p>
    <w:p w14:paraId="4CD5E6A6" w14:textId="44FE55DB" w:rsidR="00DC6C47" w:rsidRDefault="00DC6C47" w:rsidP="00DC6C47">
      <w:pPr>
        <w:pStyle w:val="Proposal"/>
        <w:numPr>
          <w:ilvl w:val="0"/>
          <w:numId w:val="0"/>
        </w:numPr>
      </w:pPr>
    </w:p>
    <w:p w14:paraId="6C308D72" w14:textId="1DAF34EB" w:rsidR="00DC6C47" w:rsidRDefault="00DC6C47" w:rsidP="00DC6C47">
      <w:pPr>
        <w:pStyle w:val="Proposal"/>
        <w:numPr>
          <w:ilvl w:val="0"/>
          <w:numId w:val="0"/>
        </w:numPr>
      </w:pPr>
    </w:p>
    <w:p w14:paraId="658DE16D" w14:textId="0F0E0C6F" w:rsidR="00DC6C47" w:rsidRDefault="00DC6C47" w:rsidP="00DC6C47">
      <w:pPr>
        <w:pStyle w:val="Proposal"/>
        <w:numPr>
          <w:ilvl w:val="0"/>
          <w:numId w:val="0"/>
        </w:numPr>
      </w:pPr>
    </w:p>
    <w:p w14:paraId="28FFBF24" w14:textId="7654801F" w:rsidR="00DC6C47" w:rsidRDefault="00DC6C47" w:rsidP="00DC6C47">
      <w:pPr>
        <w:pStyle w:val="Proposal"/>
        <w:numPr>
          <w:ilvl w:val="0"/>
          <w:numId w:val="0"/>
        </w:numPr>
      </w:pPr>
    </w:p>
    <w:p w14:paraId="22C4205F" w14:textId="591AA0C5" w:rsidR="00DC6C47" w:rsidRDefault="00DC6C47" w:rsidP="00DC6C47">
      <w:pPr>
        <w:pStyle w:val="Proposal"/>
        <w:numPr>
          <w:ilvl w:val="0"/>
          <w:numId w:val="0"/>
        </w:numPr>
      </w:pPr>
    </w:p>
    <w:p w14:paraId="6D96919C" w14:textId="445D0B07" w:rsidR="00DC6C47" w:rsidRDefault="00DC6C47" w:rsidP="00DC6C47">
      <w:pPr>
        <w:pStyle w:val="Proposal"/>
        <w:numPr>
          <w:ilvl w:val="0"/>
          <w:numId w:val="0"/>
        </w:numPr>
      </w:pPr>
    </w:p>
    <w:p w14:paraId="407CE109" w14:textId="77777777" w:rsidR="00DC6C47" w:rsidRDefault="00DC6C47" w:rsidP="00DC6C47">
      <w:pPr>
        <w:pStyle w:val="Proposal"/>
        <w:numPr>
          <w:ilvl w:val="0"/>
          <w:numId w:val="0"/>
        </w:numPr>
      </w:pPr>
    </w:p>
    <w:p w14:paraId="55ECAE25" w14:textId="77777777" w:rsidR="00D83E0D" w:rsidRPr="00CE0424" w:rsidRDefault="00D83E0D" w:rsidP="00D83E0D">
      <w:pPr>
        <w:pStyle w:val="Heading1"/>
      </w:pPr>
      <w:r w:rsidRPr="00CE0424">
        <w:t>References</w:t>
      </w:r>
    </w:p>
    <w:p w14:paraId="49DBBE9C" w14:textId="77777777" w:rsidR="00D83E0D" w:rsidRDefault="00D83E0D" w:rsidP="004B06DD">
      <w:pPr>
        <w:overflowPunct/>
        <w:autoSpaceDE/>
        <w:autoSpaceDN/>
        <w:adjustRightInd/>
        <w:spacing w:after="0"/>
        <w:textAlignment w:val="auto"/>
      </w:pPr>
    </w:p>
    <w:p w14:paraId="31F7C05B" w14:textId="09E2EE56" w:rsidR="00D83E0D" w:rsidRPr="00707542" w:rsidRDefault="00B429E1" w:rsidP="00707542">
      <w:pPr>
        <w:pStyle w:val="BodyText"/>
        <w:rPr>
          <w:rStyle w:val="Hyperlink"/>
        </w:rPr>
      </w:pPr>
      <w:r w:rsidRPr="00707542">
        <w:t>[</w:t>
      </w:r>
      <w:r w:rsidR="00F03FDF" w:rsidRPr="00707542">
        <w:t>1]</w:t>
      </w:r>
      <w:r w:rsidR="00F03FDF" w:rsidRPr="00707542">
        <w:tab/>
      </w:r>
      <w:hyperlink r:id="rId11" w:history="1">
        <w:r w:rsidR="000D5375" w:rsidRPr="00707542">
          <w:rPr>
            <w:rStyle w:val="Hyperlink"/>
          </w:rPr>
          <w:t>R2-2010694</w:t>
        </w:r>
      </w:hyperlink>
      <w:r w:rsidR="00707542" w:rsidRPr="00707542">
        <w:rPr>
          <w:rStyle w:val="Hyperlink"/>
        </w:rPr>
        <w:tab/>
      </w:r>
      <w:r w:rsidR="00707542">
        <w:rPr>
          <w:rStyle w:val="Hyperlink"/>
          <w:u w:val="none"/>
        </w:rPr>
        <w:tab/>
      </w:r>
      <w:r w:rsidR="00707542" w:rsidRPr="00707542">
        <w:rPr>
          <w:rFonts w:cs="Arial"/>
        </w:rPr>
        <w:t>LS on restricting the rate per UE per network slice</w:t>
      </w:r>
      <w:r w:rsidR="00707542">
        <w:rPr>
          <w:rFonts w:cs="Arial"/>
        </w:rPr>
        <w:t xml:space="preserve"> (</w:t>
      </w:r>
      <w:r w:rsidR="00707542" w:rsidRPr="00707542">
        <w:rPr>
          <w:rFonts w:cs="Arial"/>
        </w:rPr>
        <w:t>Source SA2</w:t>
      </w:r>
      <w:r w:rsidR="00707542">
        <w:rPr>
          <w:rFonts w:cs="Arial"/>
        </w:rPr>
        <w:t>)</w:t>
      </w:r>
    </w:p>
    <w:p w14:paraId="45838B22" w14:textId="59EDD952" w:rsidR="00707542" w:rsidRDefault="00707542" w:rsidP="00707542">
      <w:pPr>
        <w:pStyle w:val="BodyText"/>
      </w:pPr>
      <w:r>
        <w:t>[2]</w:t>
      </w:r>
      <w:r>
        <w:tab/>
      </w:r>
      <w:hyperlink r:id="rId12" w:history="1">
        <w:r w:rsidRPr="00F44D6E">
          <w:rPr>
            <w:rStyle w:val="Hyperlink"/>
            <w:lang w:val="en-US"/>
          </w:rPr>
          <w:t>R2-2011104</w:t>
        </w:r>
      </w:hyperlink>
      <w:r>
        <w:rPr>
          <w:lang w:val="en-US"/>
        </w:rPr>
        <w:tab/>
      </w:r>
      <w:r>
        <w:rPr>
          <w:lang w:val="en-US"/>
        </w:rPr>
        <w:tab/>
        <w:t>Reply LS on restricting the rate per UE per network slice (source RAN2)</w:t>
      </w:r>
    </w:p>
    <w:p w14:paraId="221E5FD4" w14:textId="68D96866" w:rsidR="00B85487" w:rsidRDefault="00D83E0D" w:rsidP="00707542">
      <w:pPr>
        <w:pStyle w:val="BodyText"/>
        <w:rPr>
          <w:sz w:val="36"/>
        </w:rPr>
      </w:pPr>
      <w:r w:rsidRPr="00707542">
        <w:t>[</w:t>
      </w:r>
      <w:r w:rsidR="00707542">
        <w:t>3</w:t>
      </w:r>
      <w:r w:rsidRPr="00707542">
        <w:t>]</w:t>
      </w:r>
      <w:r w:rsidRPr="00707542">
        <w:tab/>
      </w:r>
      <w:r w:rsidR="00707542">
        <w:t xml:space="preserve">TS </w:t>
      </w:r>
      <w:r w:rsidRPr="00707542">
        <w:t>38.300</w:t>
      </w:r>
    </w:p>
    <w:sectPr w:rsidR="00B85487" w:rsidSect="00971D8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8B11" w16cex:dateUtc="2021-01-13T14:06:00Z"/>
  <w16cex:commentExtensible w16cex:durableId="23A98B2E" w16cex:dateUtc="2021-01-13T1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27E73" w14:textId="77777777" w:rsidR="005F2ED7" w:rsidRDefault="005F2ED7">
      <w:r>
        <w:separator/>
      </w:r>
    </w:p>
  </w:endnote>
  <w:endnote w:type="continuationSeparator" w:id="0">
    <w:p w14:paraId="39306823" w14:textId="77777777" w:rsidR="005F2ED7" w:rsidRDefault="005F2ED7">
      <w:r>
        <w:continuationSeparator/>
      </w:r>
    </w:p>
  </w:endnote>
  <w:endnote w:type="continuationNotice" w:id="1">
    <w:p w14:paraId="399CE897" w14:textId="77777777" w:rsidR="00283718" w:rsidRDefault="00283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EBFA6" w14:textId="77777777" w:rsidR="002878EE" w:rsidRDefault="00287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0104" w14:textId="77777777" w:rsidR="002878EE" w:rsidRDefault="002878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6021" w14:textId="77777777" w:rsidR="002878EE" w:rsidRDefault="00287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D2DE3" w14:textId="77777777" w:rsidR="005F2ED7" w:rsidRDefault="005F2ED7">
      <w:r>
        <w:separator/>
      </w:r>
    </w:p>
  </w:footnote>
  <w:footnote w:type="continuationSeparator" w:id="0">
    <w:p w14:paraId="70143CB1" w14:textId="77777777" w:rsidR="005F2ED7" w:rsidRDefault="005F2ED7">
      <w:r>
        <w:continuationSeparator/>
      </w:r>
    </w:p>
  </w:footnote>
  <w:footnote w:type="continuationNotice" w:id="1">
    <w:p w14:paraId="6A09C5F1" w14:textId="77777777" w:rsidR="00283718" w:rsidRDefault="00283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A7C50" w14:textId="77777777" w:rsidR="002878EE" w:rsidRDefault="00287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D9952" w14:textId="77777777" w:rsidR="002878EE" w:rsidRDefault="00287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D4AE3" w14:textId="77777777" w:rsidR="002878EE" w:rsidRDefault="00287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6E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0EB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F03029"/>
    <w:multiLevelType w:val="hybridMultilevel"/>
    <w:tmpl w:val="3D740614"/>
    <w:lvl w:ilvl="0" w:tplc="6E867020">
      <w:start w:val="1"/>
      <w:numFmt w:val="bullet"/>
      <w:lvlText w:val="●"/>
      <w:lvlJc w:val="left"/>
      <w:pPr>
        <w:tabs>
          <w:tab w:val="num" w:pos="720"/>
        </w:tabs>
        <w:ind w:left="720" w:hanging="360"/>
      </w:pPr>
      <w:rPr>
        <w:rFonts w:ascii="Ericsson Hilda" w:hAnsi="Ericsson Hilda" w:hint="default"/>
      </w:rPr>
    </w:lvl>
    <w:lvl w:ilvl="1" w:tplc="D45C5B20">
      <w:start w:val="1"/>
      <w:numFmt w:val="bullet"/>
      <w:lvlText w:val="●"/>
      <w:lvlJc w:val="left"/>
      <w:pPr>
        <w:tabs>
          <w:tab w:val="num" w:pos="1440"/>
        </w:tabs>
        <w:ind w:left="1440" w:hanging="360"/>
      </w:pPr>
      <w:rPr>
        <w:rFonts w:ascii="Ericsson Hilda" w:hAnsi="Ericsson Hilda" w:hint="default"/>
      </w:rPr>
    </w:lvl>
    <w:lvl w:ilvl="2" w:tplc="74D48A8E">
      <w:numFmt w:val="none"/>
      <w:lvlText w:val=""/>
      <w:lvlJc w:val="left"/>
      <w:pPr>
        <w:tabs>
          <w:tab w:val="num" w:pos="360"/>
        </w:tabs>
      </w:pPr>
    </w:lvl>
    <w:lvl w:ilvl="3" w:tplc="DA98B77E" w:tentative="1">
      <w:start w:val="1"/>
      <w:numFmt w:val="bullet"/>
      <w:lvlText w:val="●"/>
      <w:lvlJc w:val="left"/>
      <w:pPr>
        <w:tabs>
          <w:tab w:val="num" w:pos="2880"/>
        </w:tabs>
        <w:ind w:left="2880" w:hanging="360"/>
      </w:pPr>
      <w:rPr>
        <w:rFonts w:ascii="Ericsson Hilda" w:hAnsi="Ericsson Hilda" w:hint="default"/>
      </w:rPr>
    </w:lvl>
    <w:lvl w:ilvl="4" w:tplc="E3062036" w:tentative="1">
      <w:start w:val="1"/>
      <w:numFmt w:val="bullet"/>
      <w:lvlText w:val="●"/>
      <w:lvlJc w:val="left"/>
      <w:pPr>
        <w:tabs>
          <w:tab w:val="num" w:pos="3600"/>
        </w:tabs>
        <w:ind w:left="3600" w:hanging="360"/>
      </w:pPr>
      <w:rPr>
        <w:rFonts w:ascii="Ericsson Hilda" w:hAnsi="Ericsson Hilda" w:hint="default"/>
      </w:rPr>
    </w:lvl>
    <w:lvl w:ilvl="5" w:tplc="10C0DCCA" w:tentative="1">
      <w:start w:val="1"/>
      <w:numFmt w:val="bullet"/>
      <w:lvlText w:val="●"/>
      <w:lvlJc w:val="left"/>
      <w:pPr>
        <w:tabs>
          <w:tab w:val="num" w:pos="4320"/>
        </w:tabs>
        <w:ind w:left="4320" w:hanging="360"/>
      </w:pPr>
      <w:rPr>
        <w:rFonts w:ascii="Ericsson Hilda" w:hAnsi="Ericsson Hilda" w:hint="default"/>
      </w:rPr>
    </w:lvl>
    <w:lvl w:ilvl="6" w:tplc="D07CC7EC" w:tentative="1">
      <w:start w:val="1"/>
      <w:numFmt w:val="bullet"/>
      <w:lvlText w:val="●"/>
      <w:lvlJc w:val="left"/>
      <w:pPr>
        <w:tabs>
          <w:tab w:val="num" w:pos="5040"/>
        </w:tabs>
        <w:ind w:left="5040" w:hanging="360"/>
      </w:pPr>
      <w:rPr>
        <w:rFonts w:ascii="Ericsson Hilda" w:hAnsi="Ericsson Hilda" w:hint="default"/>
      </w:rPr>
    </w:lvl>
    <w:lvl w:ilvl="7" w:tplc="2E8E5CDC" w:tentative="1">
      <w:start w:val="1"/>
      <w:numFmt w:val="bullet"/>
      <w:lvlText w:val="●"/>
      <w:lvlJc w:val="left"/>
      <w:pPr>
        <w:tabs>
          <w:tab w:val="num" w:pos="5760"/>
        </w:tabs>
        <w:ind w:left="5760" w:hanging="360"/>
      </w:pPr>
      <w:rPr>
        <w:rFonts w:ascii="Ericsson Hilda" w:hAnsi="Ericsson Hilda" w:hint="default"/>
      </w:rPr>
    </w:lvl>
    <w:lvl w:ilvl="8" w:tplc="E7263CF8"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6C2127"/>
    <w:multiLevelType w:val="hybridMultilevel"/>
    <w:tmpl w:val="B19EAC6A"/>
    <w:lvl w:ilvl="0" w:tplc="08090011">
      <w:start w:val="1"/>
      <w:numFmt w:val="decimal"/>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8F4D28"/>
    <w:multiLevelType w:val="hybridMultilevel"/>
    <w:tmpl w:val="4536B9D8"/>
    <w:lvl w:ilvl="0" w:tplc="4A2283CA">
      <w:start w:val="1"/>
      <w:numFmt w:val="bullet"/>
      <w:lvlText w:val="●"/>
      <w:lvlJc w:val="left"/>
      <w:pPr>
        <w:tabs>
          <w:tab w:val="num" w:pos="720"/>
        </w:tabs>
        <w:ind w:left="720" w:hanging="360"/>
      </w:pPr>
      <w:rPr>
        <w:rFonts w:ascii="Ericsson Hilda" w:hAnsi="Ericsson Hilda" w:hint="default"/>
      </w:rPr>
    </w:lvl>
    <w:lvl w:ilvl="1" w:tplc="731465AE">
      <w:numFmt w:val="none"/>
      <w:lvlText w:val=""/>
      <w:lvlJc w:val="left"/>
      <w:pPr>
        <w:tabs>
          <w:tab w:val="num" w:pos="360"/>
        </w:tabs>
      </w:pPr>
    </w:lvl>
    <w:lvl w:ilvl="2" w:tplc="5D18D8EE">
      <w:numFmt w:val="none"/>
      <w:lvlText w:val=""/>
      <w:lvlJc w:val="left"/>
      <w:pPr>
        <w:tabs>
          <w:tab w:val="num" w:pos="360"/>
        </w:tabs>
      </w:pPr>
    </w:lvl>
    <w:lvl w:ilvl="3" w:tplc="D82A401E" w:tentative="1">
      <w:start w:val="1"/>
      <w:numFmt w:val="bullet"/>
      <w:lvlText w:val="●"/>
      <w:lvlJc w:val="left"/>
      <w:pPr>
        <w:tabs>
          <w:tab w:val="num" w:pos="2880"/>
        </w:tabs>
        <w:ind w:left="2880" w:hanging="360"/>
      </w:pPr>
      <w:rPr>
        <w:rFonts w:ascii="Ericsson Hilda" w:hAnsi="Ericsson Hilda" w:hint="default"/>
      </w:rPr>
    </w:lvl>
    <w:lvl w:ilvl="4" w:tplc="489CF012" w:tentative="1">
      <w:start w:val="1"/>
      <w:numFmt w:val="bullet"/>
      <w:lvlText w:val="●"/>
      <w:lvlJc w:val="left"/>
      <w:pPr>
        <w:tabs>
          <w:tab w:val="num" w:pos="3600"/>
        </w:tabs>
        <w:ind w:left="3600" w:hanging="360"/>
      </w:pPr>
      <w:rPr>
        <w:rFonts w:ascii="Ericsson Hilda" w:hAnsi="Ericsson Hilda" w:hint="default"/>
      </w:rPr>
    </w:lvl>
    <w:lvl w:ilvl="5" w:tplc="975E7C24" w:tentative="1">
      <w:start w:val="1"/>
      <w:numFmt w:val="bullet"/>
      <w:lvlText w:val="●"/>
      <w:lvlJc w:val="left"/>
      <w:pPr>
        <w:tabs>
          <w:tab w:val="num" w:pos="4320"/>
        </w:tabs>
        <w:ind w:left="4320" w:hanging="360"/>
      </w:pPr>
      <w:rPr>
        <w:rFonts w:ascii="Ericsson Hilda" w:hAnsi="Ericsson Hilda" w:hint="default"/>
      </w:rPr>
    </w:lvl>
    <w:lvl w:ilvl="6" w:tplc="E71CC714" w:tentative="1">
      <w:start w:val="1"/>
      <w:numFmt w:val="bullet"/>
      <w:lvlText w:val="●"/>
      <w:lvlJc w:val="left"/>
      <w:pPr>
        <w:tabs>
          <w:tab w:val="num" w:pos="5040"/>
        </w:tabs>
        <w:ind w:left="5040" w:hanging="360"/>
      </w:pPr>
      <w:rPr>
        <w:rFonts w:ascii="Ericsson Hilda" w:hAnsi="Ericsson Hilda" w:hint="default"/>
      </w:rPr>
    </w:lvl>
    <w:lvl w:ilvl="7" w:tplc="BEBCDDE2" w:tentative="1">
      <w:start w:val="1"/>
      <w:numFmt w:val="bullet"/>
      <w:lvlText w:val="●"/>
      <w:lvlJc w:val="left"/>
      <w:pPr>
        <w:tabs>
          <w:tab w:val="num" w:pos="5760"/>
        </w:tabs>
        <w:ind w:left="5760" w:hanging="360"/>
      </w:pPr>
      <w:rPr>
        <w:rFonts w:ascii="Ericsson Hilda" w:hAnsi="Ericsson Hilda" w:hint="default"/>
      </w:rPr>
    </w:lvl>
    <w:lvl w:ilvl="8" w:tplc="D7E4D8C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D87591"/>
    <w:multiLevelType w:val="hybridMultilevel"/>
    <w:tmpl w:val="CCA67044"/>
    <w:lvl w:ilvl="0" w:tplc="6E96DCD8">
      <w:start w:val="1"/>
      <w:numFmt w:val="bullet"/>
      <w:lvlText w:val="—"/>
      <w:lvlJc w:val="left"/>
      <w:pPr>
        <w:tabs>
          <w:tab w:val="num" w:pos="720"/>
        </w:tabs>
        <w:ind w:left="720" w:hanging="360"/>
      </w:pPr>
      <w:rPr>
        <w:rFonts w:ascii="Ericsson Hilda Light" w:hAnsi="Ericsson Hilda Light" w:hint="default"/>
      </w:rPr>
    </w:lvl>
    <w:lvl w:ilvl="1" w:tplc="DF3CA3F8">
      <w:start w:val="1"/>
      <w:numFmt w:val="bullet"/>
      <w:lvlText w:val="—"/>
      <w:lvlJc w:val="left"/>
      <w:pPr>
        <w:tabs>
          <w:tab w:val="num" w:pos="1440"/>
        </w:tabs>
        <w:ind w:left="1440" w:hanging="360"/>
      </w:pPr>
      <w:rPr>
        <w:rFonts w:ascii="Ericsson Hilda Light" w:hAnsi="Ericsson Hilda Light" w:hint="default"/>
      </w:rPr>
    </w:lvl>
    <w:lvl w:ilvl="2" w:tplc="EF5639CE">
      <w:numFmt w:val="none"/>
      <w:lvlText w:val=""/>
      <w:lvlJc w:val="left"/>
      <w:pPr>
        <w:tabs>
          <w:tab w:val="num" w:pos="360"/>
        </w:tabs>
      </w:pPr>
    </w:lvl>
    <w:lvl w:ilvl="3" w:tplc="FEF470A4" w:tentative="1">
      <w:start w:val="1"/>
      <w:numFmt w:val="bullet"/>
      <w:lvlText w:val="—"/>
      <w:lvlJc w:val="left"/>
      <w:pPr>
        <w:tabs>
          <w:tab w:val="num" w:pos="2880"/>
        </w:tabs>
        <w:ind w:left="2880" w:hanging="360"/>
      </w:pPr>
      <w:rPr>
        <w:rFonts w:ascii="Ericsson Hilda Light" w:hAnsi="Ericsson Hilda Light" w:hint="default"/>
      </w:rPr>
    </w:lvl>
    <w:lvl w:ilvl="4" w:tplc="B41415D8" w:tentative="1">
      <w:start w:val="1"/>
      <w:numFmt w:val="bullet"/>
      <w:lvlText w:val="—"/>
      <w:lvlJc w:val="left"/>
      <w:pPr>
        <w:tabs>
          <w:tab w:val="num" w:pos="3600"/>
        </w:tabs>
        <w:ind w:left="3600" w:hanging="360"/>
      </w:pPr>
      <w:rPr>
        <w:rFonts w:ascii="Ericsson Hilda Light" w:hAnsi="Ericsson Hilda Light" w:hint="default"/>
      </w:rPr>
    </w:lvl>
    <w:lvl w:ilvl="5" w:tplc="5BC0388A" w:tentative="1">
      <w:start w:val="1"/>
      <w:numFmt w:val="bullet"/>
      <w:lvlText w:val="—"/>
      <w:lvlJc w:val="left"/>
      <w:pPr>
        <w:tabs>
          <w:tab w:val="num" w:pos="4320"/>
        </w:tabs>
        <w:ind w:left="4320" w:hanging="360"/>
      </w:pPr>
      <w:rPr>
        <w:rFonts w:ascii="Ericsson Hilda Light" w:hAnsi="Ericsson Hilda Light" w:hint="default"/>
      </w:rPr>
    </w:lvl>
    <w:lvl w:ilvl="6" w:tplc="80F6F8D0" w:tentative="1">
      <w:start w:val="1"/>
      <w:numFmt w:val="bullet"/>
      <w:lvlText w:val="—"/>
      <w:lvlJc w:val="left"/>
      <w:pPr>
        <w:tabs>
          <w:tab w:val="num" w:pos="5040"/>
        </w:tabs>
        <w:ind w:left="5040" w:hanging="360"/>
      </w:pPr>
      <w:rPr>
        <w:rFonts w:ascii="Ericsson Hilda Light" w:hAnsi="Ericsson Hilda Light" w:hint="default"/>
      </w:rPr>
    </w:lvl>
    <w:lvl w:ilvl="7" w:tplc="0016B054" w:tentative="1">
      <w:start w:val="1"/>
      <w:numFmt w:val="bullet"/>
      <w:lvlText w:val="—"/>
      <w:lvlJc w:val="left"/>
      <w:pPr>
        <w:tabs>
          <w:tab w:val="num" w:pos="5760"/>
        </w:tabs>
        <w:ind w:left="5760" w:hanging="360"/>
      </w:pPr>
      <w:rPr>
        <w:rFonts w:ascii="Ericsson Hilda Light" w:hAnsi="Ericsson Hilda Light" w:hint="default"/>
      </w:rPr>
    </w:lvl>
    <w:lvl w:ilvl="8" w:tplc="FDA2FC4E"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BA252C3"/>
    <w:multiLevelType w:val="hybridMultilevel"/>
    <w:tmpl w:val="DD62790A"/>
    <w:lvl w:ilvl="0" w:tplc="09DA48A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24"/>
  </w:num>
  <w:num w:numId="24">
    <w:abstractNumId w:val="5"/>
  </w:num>
  <w:num w:numId="25">
    <w:abstractNumId w:val="1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7"/>
  </w:num>
  <w:num w:numId="30">
    <w:abstractNumId w:val="9"/>
  </w:num>
  <w:num w:numId="31">
    <w:abstractNumId w:val="13"/>
    <w:lvlOverride w:ilvl="0">
      <w:startOverride w:val="1"/>
    </w:lvlOverride>
  </w:num>
  <w:num w:numId="32">
    <w:abstractNumId w:val="19"/>
    <w:lvlOverride w:ilvl="0">
      <w:startOverride w:val="1"/>
    </w:lvlOverride>
  </w:num>
  <w:num w:numId="33">
    <w:abstractNumId w:val="19"/>
    <w:lvlOverride w:ilvl="0">
      <w:startOverride w:val="1"/>
    </w:lvlOverride>
  </w:num>
  <w:num w:numId="3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39"/>
    <w:rsid w:val="000006E1"/>
    <w:rsid w:val="00002A37"/>
    <w:rsid w:val="0000564C"/>
    <w:rsid w:val="00006446"/>
    <w:rsid w:val="00006896"/>
    <w:rsid w:val="00007CDC"/>
    <w:rsid w:val="00011B28"/>
    <w:rsid w:val="00015D15"/>
    <w:rsid w:val="00020A83"/>
    <w:rsid w:val="0002564D"/>
    <w:rsid w:val="00025ECA"/>
    <w:rsid w:val="000325B8"/>
    <w:rsid w:val="00034C15"/>
    <w:rsid w:val="00036BA1"/>
    <w:rsid w:val="0004034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4DF"/>
    <w:rsid w:val="000A56F2"/>
    <w:rsid w:val="000B1F47"/>
    <w:rsid w:val="000B2719"/>
    <w:rsid w:val="000B3A8F"/>
    <w:rsid w:val="000B4AB9"/>
    <w:rsid w:val="000B58C3"/>
    <w:rsid w:val="000B61E9"/>
    <w:rsid w:val="000C165A"/>
    <w:rsid w:val="000C2E19"/>
    <w:rsid w:val="000D056B"/>
    <w:rsid w:val="000D0D07"/>
    <w:rsid w:val="000D1FD1"/>
    <w:rsid w:val="000D4797"/>
    <w:rsid w:val="000D537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51"/>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18"/>
    <w:rsid w:val="00286ACD"/>
    <w:rsid w:val="00287838"/>
    <w:rsid w:val="002878EE"/>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5C2A"/>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4D4"/>
    <w:rsid w:val="00346DB5"/>
    <w:rsid w:val="003477B1"/>
    <w:rsid w:val="00357380"/>
    <w:rsid w:val="00357393"/>
    <w:rsid w:val="003602D9"/>
    <w:rsid w:val="003604CE"/>
    <w:rsid w:val="00370E47"/>
    <w:rsid w:val="003742AC"/>
    <w:rsid w:val="00377CE1"/>
    <w:rsid w:val="00382234"/>
    <w:rsid w:val="00385BF0"/>
    <w:rsid w:val="0038642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F05"/>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570"/>
    <w:rsid w:val="004669E2"/>
    <w:rsid w:val="00470C31"/>
    <w:rsid w:val="00471DE0"/>
    <w:rsid w:val="004734D0"/>
    <w:rsid w:val="0047556B"/>
    <w:rsid w:val="00477768"/>
    <w:rsid w:val="00492BC5"/>
    <w:rsid w:val="004964F1"/>
    <w:rsid w:val="004A16BC"/>
    <w:rsid w:val="004A2B94"/>
    <w:rsid w:val="004B06DD"/>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827"/>
    <w:rsid w:val="005B6F83"/>
    <w:rsid w:val="005C74FB"/>
    <w:rsid w:val="005D1602"/>
    <w:rsid w:val="005E385F"/>
    <w:rsid w:val="005E5B81"/>
    <w:rsid w:val="005F15D1"/>
    <w:rsid w:val="005F2CB1"/>
    <w:rsid w:val="005F2ED7"/>
    <w:rsid w:val="005F3025"/>
    <w:rsid w:val="005F4509"/>
    <w:rsid w:val="005F618C"/>
    <w:rsid w:val="005F70BD"/>
    <w:rsid w:val="00600939"/>
    <w:rsid w:val="0060283C"/>
    <w:rsid w:val="00604F14"/>
    <w:rsid w:val="00611B83"/>
    <w:rsid w:val="00613257"/>
    <w:rsid w:val="00620A71"/>
    <w:rsid w:val="00620D80"/>
    <w:rsid w:val="006234A6"/>
    <w:rsid w:val="00630001"/>
    <w:rsid w:val="006311B3"/>
    <w:rsid w:val="0063284C"/>
    <w:rsid w:val="0063332C"/>
    <w:rsid w:val="00636398"/>
    <w:rsid w:val="006368D3"/>
    <w:rsid w:val="00636F09"/>
    <w:rsid w:val="006377EC"/>
    <w:rsid w:val="0064151F"/>
    <w:rsid w:val="00641533"/>
    <w:rsid w:val="0064208D"/>
    <w:rsid w:val="006432EB"/>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E0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C21"/>
    <w:rsid w:val="0070346E"/>
    <w:rsid w:val="00704EDB"/>
    <w:rsid w:val="00706101"/>
    <w:rsid w:val="00707072"/>
    <w:rsid w:val="00707542"/>
    <w:rsid w:val="00707D61"/>
    <w:rsid w:val="00712287"/>
    <w:rsid w:val="00712772"/>
    <w:rsid w:val="007148D3"/>
    <w:rsid w:val="00715B9A"/>
    <w:rsid w:val="00721C1B"/>
    <w:rsid w:val="007257D0"/>
    <w:rsid w:val="00726EA6"/>
    <w:rsid w:val="00727208"/>
    <w:rsid w:val="00727680"/>
    <w:rsid w:val="007348B1"/>
    <w:rsid w:val="007362A6"/>
    <w:rsid w:val="00736D7D"/>
    <w:rsid w:val="00740E58"/>
    <w:rsid w:val="007445A0"/>
    <w:rsid w:val="0074524B"/>
    <w:rsid w:val="007474CD"/>
    <w:rsid w:val="00747D8B"/>
    <w:rsid w:val="00751228"/>
    <w:rsid w:val="007571E1"/>
    <w:rsid w:val="00757A16"/>
    <w:rsid w:val="007604B2"/>
    <w:rsid w:val="00765281"/>
    <w:rsid w:val="0076669F"/>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75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46B"/>
    <w:rsid w:val="00856911"/>
    <w:rsid w:val="008677FD"/>
    <w:rsid w:val="008706D4"/>
    <w:rsid w:val="00870F8A"/>
    <w:rsid w:val="008719A4"/>
    <w:rsid w:val="00871D23"/>
    <w:rsid w:val="00874312"/>
    <w:rsid w:val="0087437C"/>
    <w:rsid w:val="008759E2"/>
    <w:rsid w:val="00875CD7"/>
    <w:rsid w:val="00876B4D"/>
    <w:rsid w:val="00877F18"/>
    <w:rsid w:val="008941E3"/>
    <w:rsid w:val="00894A88"/>
    <w:rsid w:val="00894B84"/>
    <w:rsid w:val="00894FFF"/>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910"/>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CB4"/>
    <w:rsid w:val="00961921"/>
    <w:rsid w:val="0096430A"/>
    <w:rsid w:val="0096554B"/>
    <w:rsid w:val="0096584A"/>
    <w:rsid w:val="00971D8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5EF"/>
    <w:rsid w:val="009D703C"/>
    <w:rsid w:val="009D718F"/>
    <w:rsid w:val="009E068F"/>
    <w:rsid w:val="009E14E0"/>
    <w:rsid w:val="009E35DB"/>
    <w:rsid w:val="009E477D"/>
    <w:rsid w:val="009E47A3"/>
    <w:rsid w:val="009F08F3"/>
    <w:rsid w:val="009F344F"/>
    <w:rsid w:val="009F709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56D"/>
    <w:rsid w:val="00A67E6C"/>
    <w:rsid w:val="00A71B99"/>
    <w:rsid w:val="00A7382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A91"/>
    <w:rsid w:val="00AF42D7"/>
    <w:rsid w:val="00B006FE"/>
    <w:rsid w:val="00B007CB"/>
    <w:rsid w:val="00B02AA9"/>
    <w:rsid w:val="00B02FA3"/>
    <w:rsid w:val="00B05084"/>
    <w:rsid w:val="00B07752"/>
    <w:rsid w:val="00B157F9"/>
    <w:rsid w:val="00B20256"/>
    <w:rsid w:val="00B20D09"/>
    <w:rsid w:val="00B2763F"/>
    <w:rsid w:val="00B27AAC"/>
    <w:rsid w:val="00B30929"/>
    <w:rsid w:val="00B372AA"/>
    <w:rsid w:val="00B40445"/>
    <w:rsid w:val="00B409E0"/>
    <w:rsid w:val="00B41888"/>
    <w:rsid w:val="00B429E1"/>
    <w:rsid w:val="00B45A52"/>
    <w:rsid w:val="00B46175"/>
    <w:rsid w:val="00B548B7"/>
    <w:rsid w:val="00B664C7"/>
    <w:rsid w:val="00B739F6"/>
    <w:rsid w:val="00B81A6C"/>
    <w:rsid w:val="00B85487"/>
    <w:rsid w:val="00B85DE5"/>
    <w:rsid w:val="00B87BB0"/>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6E4"/>
    <w:rsid w:val="00C02CC6"/>
    <w:rsid w:val="00C040F7"/>
    <w:rsid w:val="00C044AB"/>
    <w:rsid w:val="00C05706"/>
    <w:rsid w:val="00C07377"/>
    <w:rsid w:val="00C10478"/>
    <w:rsid w:val="00C12107"/>
    <w:rsid w:val="00C12525"/>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B7AE9"/>
    <w:rsid w:val="00CC040E"/>
    <w:rsid w:val="00CC111F"/>
    <w:rsid w:val="00CC2011"/>
    <w:rsid w:val="00CC3EA0"/>
    <w:rsid w:val="00CC7B45"/>
    <w:rsid w:val="00CD1188"/>
    <w:rsid w:val="00CD2ED1"/>
    <w:rsid w:val="00CD337B"/>
    <w:rsid w:val="00CE0424"/>
    <w:rsid w:val="00CE34CA"/>
    <w:rsid w:val="00CE7561"/>
    <w:rsid w:val="00CF1354"/>
    <w:rsid w:val="00CF3B1F"/>
    <w:rsid w:val="00CF3BF6"/>
    <w:rsid w:val="00CF625B"/>
    <w:rsid w:val="00CF687E"/>
    <w:rsid w:val="00D0349B"/>
    <w:rsid w:val="00D10249"/>
    <w:rsid w:val="00D115C3"/>
    <w:rsid w:val="00D11897"/>
    <w:rsid w:val="00D13135"/>
    <w:rsid w:val="00D13E4E"/>
    <w:rsid w:val="00D15F73"/>
    <w:rsid w:val="00D239A7"/>
    <w:rsid w:val="00D23F47"/>
    <w:rsid w:val="00D30FEE"/>
    <w:rsid w:val="00D36E71"/>
    <w:rsid w:val="00D37D87"/>
    <w:rsid w:val="00D40B33"/>
    <w:rsid w:val="00D4318F"/>
    <w:rsid w:val="00D438BF"/>
    <w:rsid w:val="00D440F8"/>
    <w:rsid w:val="00D546FF"/>
    <w:rsid w:val="00D55AD5"/>
    <w:rsid w:val="00D576CA"/>
    <w:rsid w:val="00D61AF5"/>
    <w:rsid w:val="00D652B5"/>
    <w:rsid w:val="00D65563"/>
    <w:rsid w:val="00D66155"/>
    <w:rsid w:val="00D708B0"/>
    <w:rsid w:val="00D77B1D"/>
    <w:rsid w:val="00D8021F"/>
    <w:rsid w:val="00D80383"/>
    <w:rsid w:val="00D823C6"/>
    <w:rsid w:val="00D8327F"/>
    <w:rsid w:val="00D83E0D"/>
    <w:rsid w:val="00D86CA3"/>
    <w:rsid w:val="00D871CE"/>
    <w:rsid w:val="00D9196D"/>
    <w:rsid w:val="00D92982"/>
    <w:rsid w:val="00D9310F"/>
    <w:rsid w:val="00DA305E"/>
    <w:rsid w:val="00DA5417"/>
    <w:rsid w:val="00DA56E8"/>
    <w:rsid w:val="00DB0A9F"/>
    <w:rsid w:val="00DB377D"/>
    <w:rsid w:val="00DC2D36"/>
    <w:rsid w:val="00DC53EF"/>
    <w:rsid w:val="00DC6C4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093"/>
    <w:rsid w:val="00E87822"/>
    <w:rsid w:val="00E90395"/>
    <w:rsid w:val="00E90E49"/>
    <w:rsid w:val="00E917F9"/>
    <w:rsid w:val="00E9291C"/>
    <w:rsid w:val="00E93FFE"/>
    <w:rsid w:val="00E94361"/>
    <w:rsid w:val="00E94F8A"/>
    <w:rsid w:val="00EA7A41"/>
    <w:rsid w:val="00EB077B"/>
    <w:rsid w:val="00EB4EA2"/>
    <w:rsid w:val="00EC24D5"/>
    <w:rsid w:val="00EC27C6"/>
    <w:rsid w:val="00EC4207"/>
    <w:rsid w:val="00EC5653"/>
    <w:rsid w:val="00EC71CE"/>
    <w:rsid w:val="00ED1006"/>
    <w:rsid w:val="00EF18FE"/>
    <w:rsid w:val="00EF5787"/>
    <w:rsid w:val="00EF60D0"/>
    <w:rsid w:val="00F03FDF"/>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F7F70"/>
  <w15:chartTrackingRefBased/>
  <w15:docId w15:val="{7DCB0EA9-514C-4D07-BA30-99C9111B8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Zchn">
    <w:name w:val="NO Zchn"/>
    <w:locked/>
    <w:rsid w:val="00B429E1"/>
  </w:style>
  <w:style w:type="character" w:customStyle="1" w:styleId="B1Zchn">
    <w:name w:val="B1 Zchn"/>
    <w:locked/>
    <w:rsid w:val="00B429E1"/>
  </w:style>
  <w:style w:type="paragraph" w:styleId="BlockText">
    <w:name w:val="Block Text"/>
    <w:basedOn w:val="Normal"/>
    <w:rsid w:val="009F709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047424">
      <w:bodyDiv w:val="1"/>
      <w:marLeft w:val="0"/>
      <w:marRight w:val="0"/>
      <w:marTop w:val="0"/>
      <w:marBottom w:val="0"/>
      <w:divBdr>
        <w:top w:val="none" w:sz="0" w:space="0" w:color="auto"/>
        <w:left w:val="none" w:sz="0" w:space="0" w:color="auto"/>
        <w:bottom w:val="none" w:sz="0" w:space="0" w:color="auto"/>
        <w:right w:val="none" w:sz="0" w:space="0" w:color="auto"/>
      </w:divBdr>
    </w:div>
    <w:div w:id="484903044">
      <w:bodyDiv w:val="1"/>
      <w:marLeft w:val="0"/>
      <w:marRight w:val="0"/>
      <w:marTop w:val="0"/>
      <w:marBottom w:val="0"/>
      <w:divBdr>
        <w:top w:val="none" w:sz="0" w:space="0" w:color="auto"/>
        <w:left w:val="none" w:sz="0" w:space="0" w:color="auto"/>
        <w:bottom w:val="none" w:sz="0" w:space="0" w:color="auto"/>
        <w:right w:val="none" w:sz="0" w:space="0" w:color="auto"/>
      </w:divBdr>
    </w:div>
    <w:div w:id="493687924">
      <w:bodyDiv w:val="1"/>
      <w:marLeft w:val="0"/>
      <w:marRight w:val="0"/>
      <w:marTop w:val="0"/>
      <w:marBottom w:val="0"/>
      <w:divBdr>
        <w:top w:val="none" w:sz="0" w:space="0" w:color="auto"/>
        <w:left w:val="none" w:sz="0" w:space="0" w:color="auto"/>
        <w:bottom w:val="none" w:sz="0" w:space="0" w:color="auto"/>
        <w:right w:val="none" w:sz="0" w:space="0" w:color="auto"/>
      </w:divBdr>
    </w:div>
    <w:div w:id="531461495">
      <w:bodyDiv w:val="1"/>
      <w:marLeft w:val="0"/>
      <w:marRight w:val="0"/>
      <w:marTop w:val="0"/>
      <w:marBottom w:val="0"/>
      <w:divBdr>
        <w:top w:val="none" w:sz="0" w:space="0" w:color="auto"/>
        <w:left w:val="none" w:sz="0" w:space="0" w:color="auto"/>
        <w:bottom w:val="none" w:sz="0" w:space="0" w:color="auto"/>
        <w:right w:val="none" w:sz="0" w:space="0" w:color="auto"/>
      </w:divBdr>
      <w:divsChild>
        <w:div w:id="103886754">
          <w:marLeft w:val="576"/>
          <w:marRight w:val="0"/>
          <w:marTop w:val="160"/>
          <w:marBottom w:val="0"/>
          <w:divBdr>
            <w:top w:val="none" w:sz="0" w:space="0" w:color="auto"/>
            <w:left w:val="none" w:sz="0" w:space="0" w:color="auto"/>
            <w:bottom w:val="none" w:sz="0" w:space="0" w:color="auto"/>
            <w:right w:val="none" w:sz="0" w:space="0" w:color="auto"/>
          </w:divBdr>
        </w:div>
        <w:div w:id="128018073">
          <w:marLeft w:val="850"/>
          <w:marRight w:val="0"/>
          <w:marTop w:val="160"/>
          <w:marBottom w:val="0"/>
          <w:divBdr>
            <w:top w:val="none" w:sz="0" w:space="0" w:color="auto"/>
            <w:left w:val="none" w:sz="0" w:space="0" w:color="auto"/>
            <w:bottom w:val="none" w:sz="0" w:space="0" w:color="auto"/>
            <w:right w:val="none" w:sz="0" w:space="0" w:color="auto"/>
          </w:divBdr>
        </w:div>
        <w:div w:id="1033388780">
          <w:marLeft w:val="850"/>
          <w:marRight w:val="0"/>
          <w:marTop w:val="160"/>
          <w:marBottom w:val="0"/>
          <w:divBdr>
            <w:top w:val="none" w:sz="0" w:space="0" w:color="auto"/>
            <w:left w:val="none" w:sz="0" w:space="0" w:color="auto"/>
            <w:bottom w:val="none" w:sz="0" w:space="0" w:color="auto"/>
            <w:right w:val="none" w:sz="0" w:space="0" w:color="auto"/>
          </w:divBdr>
        </w:div>
        <w:div w:id="1879973030">
          <w:marLeft w:val="576"/>
          <w:marRight w:val="0"/>
          <w:marTop w:val="160"/>
          <w:marBottom w:val="0"/>
          <w:divBdr>
            <w:top w:val="none" w:sz="0" w:space="0" w:color="auto"/>
            <w:left w:val="none" w:sz="0" w:space="0" w:color="auto"/>
            <w:bottom w:val="none" w:sz="0" w:space="0" w:color="auto"/>
            <w:right w:val="none" w:sz="0" w:space="0" w:color="auto"/>
          </w:divBdr>
        </w:div>
        <w:div w:id="1919288338">
          <w:marLeft w:val="576"/>
          <w:marRight w:val="0"/>
          <w:marTop w:val="160"/>
          <w:marBottom w:val="0"/>
          <w:divBdr>
            <w:top w:val="none" w:sz="0" w:space="0" w:color="auto"/>
            <w:left w:val="none" w:sz="0" w:space="0" w:color="auto"/>
            <w:bottom w:val="none" w:sz="0" w:space="0" w:color="auto"/>
            <w:right w:val="none" w:sz="0" w:space="0" w:color="auto"/>
          </w:divBdr>
        </w:div>
      </w:divsChild>
    </w:div>
    <w:div w:id="641620552">
      <w:bodyDiv w:val="1"/>
      <w:marLeft w:val="0"/>
      <w:marRight w:val="0"/>
      <w:marTop w:val="0"/>
      <w:marBottom w:val="0"/>
      <w:divBdr>
        <w:top w:val="none" w:sz="0" w:space="0" w:color="auto"/>
        <w:left w:val="none" w:sz="0" w:space="0" w:color="auto"/>
        <w:bottom w:val="none" w:sz="0" w:space="0" w:color="auto"/>
        <w:right w:val="none" w:sz="0" w:space="0" w:color="auto"/>
      </w:divBdr>
      <w:divsChild>
        <w:div w:id="121387832">
          <w:marLeft w:val="576"/>
          <w:marRight w:val="0"/>
          <w:marTop w:val="160"/>
          <w:marBottom w:val="0"/>
          <w:divBdr>
            <w:top w:val="none" w:sz="0" w:space="0" w:color="auto"/>
            <w:left w:val="none" w:sz="0" w:space="0" w:color="auto"/>
            <w:bottom w:val="none" w:sz="0" w:space="0" w:color="auto"/>
            <w:right w:val="none" w:sz="0" w:space="0" w:color="auto"/>
          </w:divBdr>
        </w:div>
        <w:div w:id="448016783">
          <w:marLeft w:val="576"/>
          <w:marRight w:val="0"/>
          <w:marTop w:val="160"/>
          <w:marBottom w:val="0"/>
          <w:divBdr>
            <w:top w:val="none" w:sz="0" w:space="0" w:color="auto"/>
            <w:left w:val="none" w:sz="0" w:space="0" w:color="auto"/>
            <w:bottom w:val="none" w:sz="0" w:space="0" w:color="auto"/>
            <w:right w:val="none" w:sz="0" w:space="0" w:color="auto"/>
          </w:divBdr>
        </w:div>
        <w:div w:id="488600268">
          <w:marLeft w:val="576"/>
          <w:marRight w:val="0"/>
          <w:marTop w:val="160"/>
          <w:marBottom w:val="0"/>
          <w:divBdr>
            <w:top w:val="none" w:sz="0" w:space="0" w:color="auto"/>
            <w:left w:val="none" w:sz="0" w:space="0" w:color="auto"/>
            <w:bottom w:val="none" w:sz="0" w:space="0" w:color="auto"/>
            <w:right w:val="none" w:sz="0" w:space="0" w:color="auto"/>
          </w:divBdr>
        </w:div>
        <w:div w:id="1137837704">
          <w:marLeft w:val="850"/>
          <w:marRight w:val="0"/>
          <w:marTop w:val="160"/>
          <w:marBottom w:val="0"/>
          <w:divBdr>
            <w:top w:val="none" w:sz="0" w:space="0" w:color="auto"/>
            <w:left w:val="none" w:sz="0" w:space="0" w:color="auto"/>
            <w:bottom w:val="none" w:sz="0" w:space="0" w:color="auto"/>
            <w:right w:val="none" w:sz="0" w:space="0" w:color="auto"/>
          </w:divBdr>
        </w:div>
        <w:div w:id="1331641246">
          <w:marLeft w:val="288"/>
          <w:marRight w:val="0"/>
          <w:marTop w:val="160"/>
          <w:marBottom w:val="0"/>
          <w:divBdr>
            <w:top w:val="none" w:sz="0" w:space="0" w:color="auto"/>
            <w:left w:val="none" w:sz="0" w:space="0" w:color="auto"/>
            <w:bottom w:val="none" w:sz="0" w:space="0" w:color="auto"/>
            <w:right w:val="none" w:sz="0" w:space="0" w:color="auto"/>
          </w:divBdr>
        </w:div>
        <w:div w:id="1428042524">
          <w:marLeft w:val="850"/>
          <w:marRight w:val="0"/>
          <w:marTop w:val="160"/>
          <w:marBottom w:val="0"/>
          <w:divBdr>
            <w:top w:val="none" w:sz="0" w:space="0" w:color="auto"/>
            <w:left w:val="none" w:sz="0" w:space="0" w:color="auto"/>
            <w:bottom w:val="none" w:sz="0" w:space="0" w:color="auto"/>
            <w:right w:val="none" w:sz="0" w:space="0" w:color="auto"/>
          </w:divBdr>
        </w:div>
        <w:div w:id="1790855580">
          <w:marLeft w:val="576"/>
          <w:marRight w:val="0"/>
          <w:marTop w:val="160"/>
          <w:marBottom w:val="0"/>
          <w:divBdr>
            <w:top w:val="none" w:sz="0" w:space="0" w:color="auto"/>
            <w:left w:val="none" w:sz="0" w:space="0" w:color="auto"/>
            <w:bottom w:val="none" w:sz="0" w:space="0" w:color="auto"/>
            <w:right w:val="none" w:sz="0" w:space="0" w:color="auto"/>
          </w:divBdr>
        </w:div>
      </w:divsChild>
    </w:div>
    <w:div w:id="876814956">
      <w:bodyDiv w:val="1"/>
      <w:marLeft w:val="0"/>
      <w:marRight w:val="0"/>
      <w:marTop w:val="0"/>
      <w:marBottom w:val="0"/>
      <w:divBdr>
        <w:top w:val="none" w:sz="0" w:space="0" w:color="auto"/>
        <w:left w:val="none" w:sz="0" w:space="0" w:color="auto"/>
        <w:bottom w:val="none" w:sz="0" w:space="0" w:color="auto"/>
        <w:right w:val="none" w:sz="0" w:space="0" w:color="auto"/>
      </w:divBdr>
      <w:divsChild>
        <w:div w:id="2173492">
          <w:marLeft w:val="1080"/>
          <w:marRight w:val="0"/>
          <w:marTop w:val="60"/>
          <w:marBottom w:val="0"/>
          <w:divBdr>
            <w:top w:val="none" w:sz="0" w:space="0" w:color="auto"/>
            <w:left w:val="none" w:sz="0" w:space="0" w:color="auto"/>
            <w:bottom w:val="none" w:sz="0" w:space="0" w:color="auto"/>
            <w:right w:val="none" w:sz="0" w:space="0" w:color="auto"/>
          </w:divBdr>
        </w:div>
        <w:div w:id="1086534211">
          <w:marLeft w:val="547"/>
          <w:marRight w:val="0"/>
          <w:marTop w:val="60"/>
          <w:marBottom w:val="0"/>
          <w:divBdr>
            <w:top w:val="none" w:sz="0" w:space="0" w:color="auto"/>
            <w:left w:val="none" w:sz="0" w:space="0" w:color="auto"/>
            <w:bottom w:val="none" w:sz="0" w:space="0" w:color="auto"/>
            <w:right w:val="none" w:sz="0" w:space="0" w:color="auto"/>
          </w:divBdr>
        </w:div>
      </w:divsChild>
    </w:div>
    <w:div w:id="886718124">
      <w:bodyDiv w:val="1"/>
      <w:marLeft w:val="0"/>
      <w:marRight w:val="0"/>
      <w:marTop w:val="0"/>
      <w:marBottom w:val="0"/>
      <w:divBdr>
        <w:top w:val="none" w:sz="0" w:space="0" w:color="auto"/>
        <w:left w:val="none" w:sz="0" w:space="0" w:color="auto"/>
        <w:bottom w:val="none" w:sz="0" w:space="0" w:color="auto"/>
        <w:right w:val="none" w:sz="0" w:space="0" w:color="auto"/>
      </w:divBdr>
    </w:div>
    <w:div w:id="1320768732">
      <w:bodyDiv w:val="1"/>
      <w:marLeft w:val="0"/>
      <w:marRight w:val="0"/>
      <w:marTop w:val="0"/>
      <w:marBottom w:val="0"/>
      <w:divBdr>
        <w:top w:val="none" w:sz="0" w:space="0" w:color="auto"/>
        <w:left w:val="none" w:sz="0" w:space="0" w:color="auto"/>
        <w:bottom w:val="none" w:sz="0" w:space="0" w:color="auto"/>
        <w:right w:val="none" w:sz="0" w:space="0" w:color="auto"/>
      </w:divBdr>
    </w:div>
    <w:div w:id="1875117813">
      <w:bodyDiv w:val="1"/>
      <w:marLeft w:val="0"/>
      <w:marRight w:val="0"/>
      <w:marTop w:val="0"/>
      <w:marBottom w:val="0"/>
      <w:divBdr>
        <w:top w:val="none" w:sz="0" w:space="0" w:color="auto"/>
        <w:left w:val="none" w:sz="0" w:space="0" w:color="auto"/>
        <w:bottom w:val="none" w:sz="0" w:space="0" w:color="auto"/>
        <w:right w:val="none" w:sz="0" w:space="0" w:color="auto"/>
      </w:divBdr>
      <w:divsChild>
        <w:div w:id="1195735031">
          <w:marLeft w:val="1080"/>
          <w:marRight w:val="0"/>
          <w:marTop w:val="60"/>
          <w:marBottom w:val="0"/>
          <w:divBdr>
            <w:top w:val="none" w:sz="0" w:space="0" w:color="auto"/>
            <w:left w:val="none" w:sz="0" w:space="0" w:color="auto"/>
            <w:bottom w:val="none" w:sz="0" w:space="0" w:color="auto"/>
            <w:right w:val="none" w:sz="0" w:space="0" w:color="auto"/>
          </w:divBdr>
        </w:div>
        <w:div w:id="1922448104">
          <w:marLeft w:val="547"/>
          <w:marRight w:val="0"/>
          <w:marTop w:val="60"/>
          <w:marBottom w:val="0"/>
          <w:divBdr>
            <w:top w:val="none" w:sz="0" w:space="0" w:color="auto"/>
            <w:left w:val="none" w:sz="0" w:space="0" w:color="auto"/>
            <w:bottom w:val="none" w:sz="0" w:space="0" w:color="auto"/>
            <w:right w:val="none" w:sz="0" w:space="0" w:color="auto"/>
          </w:divBdr>
        </w:div>
      </w:divsChild>
    </w:div>
    <w:div w:id="2134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ftp/tsg_ran/WG2_RL2//TSGR2_112-e/Docs//R2-201110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2-e/Docs/R2-201069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3_Online\Ericsson%20Contributions\Slicing\Ry-xxxxxxx%20Slice-MBR%20in%20R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B17FA-CA28-4E21-8610-14737F99F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http://purl.org/dc/elements/1.1/"/>
    <ds:schemaRef ds:uri="9b239327-9e80-40e4-b1b7-4394fed77a33"/>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11BE535-32B0-46B1-A843-13351030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Slice-MBR in RAN</Template>
  <TotalTime>1</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6264</CharactersWithSpaces>
  <SharedDoc>false</SharedDoc>
  <HLinks>
    <vt:vector size="6" baseType="variant">
      <vt:variant>
        <vt:i4>589941</vt:i4>
      </vt:variant>
      <vt:variant>
        <vt:i4>0</vt:i4>
      </vt:variant>
      <vt:variant>
        <vt:i4>0</vt:i4>
      </vt:variant>
      <vt:variant>
        <vt:i4>5</vt:i4>
      </vt:variant>
      <vt:variant>
        <vt:lpwstr>http://www.3gpp.org/ftp/tsg_ran/WG2_RL2/TSGR2_112-e/Docs/R2-2010694.zip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dc:creator>
  <cp:keywords>3GPP; Ericsson; TDoc</cp:keywords>
  <dc:description/>
  <cp:lastModifiedBy>Håkan</cp:lastModifiedBy>
  <cp:revision>2</cp:revision>
  <cp:lastPrinted>2008-01-31T16:09:00Z</cp:lastPrinted>
  <dcterms:created xsi:type="dcterms:W3CDTF">2021-01-14T19:12:00Z</dcterms:created>
  <dcterms:modified xsi:type="dcterms:W3CDTF">2021-01-14T19:12:00Z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